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BE" w:rsidRDefault="00FE43BE" w:rsidP="00FE43BE">
      <w:pPr>
        <w:spacing w:after="0" w:line="360" w:lineRule="auto"/>
        <w:jc w:val="center"/>
        <w:rPr>
          <w:rFonts w:ascii="Arial" w:hAnsi="Arial" w:cs="Arial"/>
          <w:b/>
          <w:sz w:val="32"/>
          <w:szCs w:val="24"/>
        </w:rPr>
      </w:pPr>
      <w:bookmarkStart w:id="0" w:name="_GoBack"/>
      <w:bookmarkEnd w:id="0"/>
      <w:r w:rsidRPr="00FE43BE">
        <w:rPr>
          <w:rFonts w:ascii="Arial" w:hAnsi="Arial" w:cs="Arial"/>
          <w:b/>
          <w:sz w:val="32"/>
          <w:szCs w:val="24"/>
        </w:rPr>
        <w:t xml:space="preserve">The Determination of Food Dye in Packaged </w:t>
      </w:r>
      <w:r w:rsidR="0066307C">
        <w:rPr>
          <w:rFonts w:ascii="Arial" w:hAnsi="Arial" w:cs="Arial" w:hint="eastAsia"/>
          <w:b/>
          <w:sz w:val="32"/>
          <w:szCs w:val="24"/>
          <w:lang w:eastAsia="zh-HK"/>
        </w:rPr>
        <w:t xml:space="preserve">Soft </w:t>
      </w:r>
      <w:r w:rsidRPr="00FE43BE">
        <w:rPr>
          <w:rFonts w:ascii="Arial" w:hAnsi="Arial" w:cs="Arial"/>
          <w:b/>
          <w:sz w:val="32"/>
          <w:szCs w:val="24"/>
        </w:rPr>
        <w:t>Drinks</w:t>
      </w:r>
    </w:p>
    <w:p w:rsidR="00FE43BE" w:rsidRPr="00A73F8F" w:rsidRDefault="00FE43BE" w:rsidP="00FE43BE">
      <w:pPr>
        <w:spacing w:after="0" w:line="360" w:lineRule="auto"/>
        <w:jc w:val="center"/>
        <w:rPr>
          <w:rFonts w:ascii="Arial" w:hAnsi="Arial" w:cs="Arial"/>
          <w:b/>
          <w:sz w:val="28"/>
          <w:szCs w:val="24"/>
          <w:u w:val="single"/>
        </w:rPr>
      </w:pPr>
      <w:r>
        <w:rPr>
          <w:rFonts w:ascii="Arial" w:hAnsi="Arial" w:cs="Arial" w:hint="eastAsia"/>
          <w:b/>
          <w:sz w:val="28"/>
          <w:szCs w:val="24"/>
          <w:u w:val="single"/>
        </w:rPr>
        <w:t>Teacher Notes</w:t>
      </w:r>
    </w:p>
    <w:p w:rsidR="00FE43BE" w:rsidRDefault="00FE43BE" w:rsidP="005102B5">
      <w:pPr>
        <w:widowControl w:val="0"/>
        <w:spacing w:after="0" w:line="360" w:lineRule="auto"/>
        <w:jc w:val="both"/>
        <w:rPr>
          <w:rFonts w:ascii="Times New Roman" w:hAnsi="Times New Roman" w:cs="Times New Roman"/>
          <w:b/>
          <w:sz w:val="24"/>
          <w:szCs w:val="24"/>
        </w:rPr>
      </w:pPr>
    </w:p>
    <w:p w:rsidR="00FE43BE" w:rsidRDefault="00FE43BE" w:rsidP="00FE43BE">
      <w:pPr>
        <w:spacing w:after="0" w:line="360" w:lineRule="auto"/>
        <w:jc w:val="both"/>
        <w:rPr>
          <w:rFonts w:ascii="Arial" w:hAnsi="Arial" w:cs="Arial"/>
          <w:b/>
          <w:sz w:val="24"/>
          <w:szCs w:val="24"/>
        </w:rPr>
      </w:pPr>
      <w:r>
        <w:rPr>
          <w:rFonts w:ascii="Arial" w:hAnsi="Arial" w:cs="Arial" w:hint="eastAsia"/>
          <w:b/>
          <w:sz w:val="24"/>
          <w:szCs w:val="24"/>
        </w:rPr>
        <w:t>Sample Results</w:t>
      </w:r>
    </w:p>
    <w:p w:rsidR="00FE43BE" w:rsidRPr="001C6DFB" w:rsidRDefault="00FE43BE" w:rsidP="00A717F2">
      <w:pPr>
        <w:pStyle w:val="ListParagraph"/>
        <w:widowControl w:val="0"/>
        <w:numPr>
          <w:ilvl w:val="0"/>
          <w:numId w:val="12"/>
        </w:numPr>
        <w:spacing w:afterLines="50" w:after="120" w:line="360" w:lineRule="auto"/>
        <w:ind w:left="1202" w:hanging="482"/>
        <w:rPr>
          <w:rFonts w:ascii="Arial" w:hAnsi="Arial" w:cs="Arial"/>
        </w:rPr>
      </w:pPr>
      <w:r w:rsidRPr="001C6DFB">
        <w:rPr>
          <w:rFonts w:ascii="Arial" w:hAnsi="Arial" w:cs="Arial"/>
        </w:rPr>
        <w:t xml:space="preserve">Assume that the voltage measured in </w:t>
      </w:r>
      <w:r w:rsidR="00255816">
        <w:rPr>
          <w:rFonts w:ascii="Arial" w:hAnsi="Arial" w:cs="Arial" w:hint="eastAsia"/>
        </w:rPr>
        <w:t>Part C step (2)</w:t>
      </w:r>
      <w:r w:rsidRPr="001C6DFB">
        <w:rPr>
          <w:rFonts w:ascii="Arial" w:hAnsi="Arial" w:cs="Arial"/>
        </w:rPr>
        <w:t xml:space="preserve"> is </w:t>
      </w:r>
      <w:r w:rsidR="00D51692">
        <w:rPr>
          <w:rFonts w:ascii="Arial" w:hAnsi="Arial" w:cs="Arial" w:hint="eastAsia"/>
        </w:rPr>
        <w:t xml:space="preserve">directly </w:t>
      </w:r>
      <w:r w:rsidRPr="001C6DFB">
        <w:rPr>
          <w:rFonts w:ascii="Arial" w:hAnsi="Arial" w:cs="Arial"/>
        </w:rPr>
        <w:t xml:space="preserve">proportional to the intensity of the light shining on the IR LED.  Calculate the absorbance, A = </w:t>
      </w:r>
      <w:proofErr w:type="gramStart"/>
      <w:r w:rsidRPr="001C6DFB">
        <w:rPr>
          <w:rFonts w:ascii="Arial" w:hAnsi="Arial" w:cs="Arial"/>
        </w:rPr>
        <w:t>log</w:t>
      </w:r>
      <w:r w:rsidRPr="001C6DFB">
        <w:rPr>
          <w:rFonts w:ascii="Arial" w:hAnsi="Arial" w:cs="Arial"/>
          <w:vertAlign w:val="subscript"/>
        </w:rPr>
        <w:t>10</w:t>
      </w:r>
      <w:r w:rsidRPr="001C6DFB">
        <w:rPr>
          <w:rFonts w:ascii="Arial" w:hAnsi="Arial" w:cs="Arial"/>
        </w:rPr>
        <w:t>(</w:t>
      </w:r>
      <w:proofErr w:type="gramEnd"/>
      <w:r w:rsidRPr="001C6DFB">
        <w:rPr>
          <w:rFonts w:ascii="Arial" w:hAnsi="Arial" w:cs="Arial"/>
        </w:rPr>
        <w:t>I</w:t>
      </w:r>
      <w:r w:rsidRPr="001C6DFB">
        <w:rPr>
          <w:rFonts w:ascii="Arial" w:hAnsi="Arial" w:cs="Arial"/>
          <w:vertAlign w:val="subscript"/>
        </w:rPr>
        <w:t>0</w:t>
      </w:r>
      <w:r w:rsidRPr="001C6DFB">
        <w:rPr>
          <w:rFonts w:ascii="Arial" w:hAnsi="Arial" w:cs="Arial" w:hint="eastAsia"/>
        </w:rPr>
        <w:t xml:space="preserve"> </w:t>
      </w:r>
      <w:r w:rsidRPr="001C6DFB">
        <w:rPr>
          <w:rFonts w:ascii="Arial" w:hAnsi="Arial" w:cs="Arial"/>
        </w:rPr>
        <w:t>/</w:t>
      </w:r>
      <w:r w:rsidRPr="001C6DFB">
        <w:rPr>
          <w:rFonts w:ascii="Arial" w:hAnsi="Arial" w:cs="Arial" w:hint="eastAsia"/>
        </w:rPr>
        <w:t xml:space="preserve"> </w:t>
      </w:r>
      <w:r w:rsidRPr="001C6DFB">
        <w:rPr>
          <w:rFonts w:ascii="Arial" w:hAnsi="Arial" w:cs="Arial"/>
        </w:rPr>
        <w:t>I</w:t>
      </w:r>
      <w:r w:rsidRPr="001C6DFB">
        <w:rPr>
          <w:rFonts w:ascii="Arial" w:hAnsi="Arial" w:cs="Arial"/>
          <w:vertAlign w:val="subscript"/>
        </w:rPr>
        <w:t>s</w:t>
      </w:r>
      <w:r w:rsidRPr="001C6DFB">
        <w:rPr>
          <w:rFonts w:ascii="Arial" w:hAnsi="Arial" w:cs="Arial"/>
        </w:rPr>
        <w:t>) = log</w:t>
      </w:r>
      <w:r w:rsidRPr="001C6DFB">
        <w:rPr>
          <w:rFonts w:ascii="Arial" w:hAnsi="Arial" w:cs="Arial"/>
          <w:vertAlign w:val="subscript"/>
        </w:rPr>
        <w:t>10</w:t>
      </w:r>
      <w:r w:rsidRPr="001C6DFB">
        <w:rPr>
          <w:rFonts w:ascii="Arial" w:hAnsi="Arial" w:cs="Arial"/>
        </w:rPr>
        <w:t>(V</w:t>
      </w:r>
      <w:r w:rsidRPr="001C6DFB">
        <w:rPr>
          <w:rFonts w:ascii="Arial" w:hAnsi="Arial" w:cs="Arial"/>
          <w:vertAlign w:val="subscript"/>
        </w:rPr>
        <w:t>0</w:t>
      </w:r>
      <w:r w:rsidRPr="001C6DFB">
        <w:rPr>
          <w:rFonts w:ascii="Arial" w:hAnsi="Arial" w:cs="Arial" w:hint="eastAsia"/>
        </w:rPr>
        <w:t xml:space="preserve"> </w:t>
      </w:r>
      <w:r w:rsidRPr="001C6DFB">
        <w:rPr>
          <w:rFonts w:ascii="Arial" w:hAnsi="Arial" w:cs="Arial"/>
        </w:rPr>
        <w:t>/</w:t>
      </w:r>
      <w:r w:rsidRPr="001C6DFB">
        <w:rPr>
          <w:rFonts w:ascii="Arial" w:hAnsi="Arial" w:cs="Arial" w:hint="eastAsia"/>
        </w:rPr>
        <w:t xml:space="preserve"> </w:t>
      </w:r>
      <w:r w:rsidRPr="001C6DFB">
        <w:rPr>
          <w:rFonts w:ascii="Arial" w:hAnsi="Arial" w:cs="Arial"/>
        </w:rPr>
        <w:t>V</w:t>
      </w:r>
      <w:r w:rsidRPr="001C6DFB">
        <w:rPr>
          <w:rFonts w:ascii="Arial" w:hAnsi="Arial" w:cs="Arial"/>
          <w:vertAlign w:val="subscript"/>
        </w:rPr>
        <w:t>s</w:t>
      </w:r>
      <w:r w:rsidRPr="001C6DFB">
        <w:rPr>
          <w:rFonts w:ascii="Arial" w:hAnsi="Arial" w:cs="Arial"/>
        </w:rPr>
        <w:t>) for each value of V</w:t>
      </w:r>
      <w:r w:rsidRPr="001C6DFB">
        <w:rPr>
          <w:rFonts w:ascii="Arial" w:hAnsi="Arial" w:cs="Arial"/>
          <w:vertAlign w:val="subscript"/>
        </w:rPr>
        <w:t>s</w:t>
      </w:r>
      <w:r w:rsidRPr="001C6DFB">
        <w:rPr>
          <w:rFonts w:ascii="Arial" w:hAnsi="Arial" w:cs="Arial"/>
        </w:rPr>
        <w:t>.</w:t>
      </w:r>
    </w:p>
    <w:tbl>
      <w:tblPr>
        <w:tblStyle w:val="TableGrid"/>
        <w:tblW w:w="0" w:type="auto"/>
        <w:tblLayout w:type="fixed"/>
        <w:tblLook w:val="04A0" w:firstRow="1" w:lastRow="0" w:firstColumn="1" w:lastColumn="0" w:noHBand="0" w:noVBand="1"/>
      </w:tblPr>
      <w:tblGrid>
        <w:gridCol w:w="1809"/>
        <w:gridCol w:w="1109"/>
        <w:gridCol w:w="1110"/>
        <w:gridCol w:w="1109"/>
        <w:gridCol w:w="1110"/>
        <w:gridCol w:w="1109"/>
        <w:gridCol w:w="1110"/>
        <w:gridCol w:w="1110"/>
      </w:tblGrid>
      <w:tr w:rsidR="004F7F0D" w:rsidRPr="005102B5" w:rsidTr="004F7F0D">
        <w:trPr>
          <w:trHeight w:val="416"/>
        </w:trPr>
        <w:tc>
          <w:tcPr>
            <w:tcW w:w="1809" w:type="dxa"/>
            <w:vMerge w:val="restart"/>
            <w:vAlign w:val="center"/>
          </w:tcPr>
          <w:p w:rsidR="004F7F0D" w:rsidRPr="00FA5E30" w:rsidRDefault="004F7F0D" w:rsidP="00045A33">
            <w:pPr>
              <w:spacing w:line="360" w:lineRule="auto"/>
              <w:jc w:val="center"/>
              <w:rPr>
                <w:rFonts w:ascii="Arial" w:hAnsi="Arial" w:cs="Arial"/>
                <w:lang w:eastAsia="zh-HK"/>
              </w:rPr>
            </w:pPr>
          </w:p>
        </w:tc>
        <w:tc>
          <w:tcPr>
            <w:tcW w:w="1109" w:type="dxa"/>
            <w:vMerge w:val="restart"/>
            <w:vAlign w:val="center"/>
          </w:tcPr>
          <w:p w:rsidR="004F7F0D" w:rsidRPr="00FA5E30" w:rsidRDefault="004F7F0D" w:rsidP="00045A33">
            <w:pPr>
              <w:jc w:val="center"/>
              <w:rPr>
                <w:rFonts w:ascii="Arial" w:hAnsi="Arial" w:cs="Arial"/>
                <w:sz w:val="20"/>
                <w:lang w:eastAsia="zh-HK"/>
              </w:rPr>
            </w:pPr>
            <w:proofErr w:type="spellStart"/>
            <w:r w:rsidRPr="00FA5E30">
              <w:rPr>
                <w:rFonts w:ascii="Arial" w:hAnsi="Arial" w:cs="Arial"/>
                <w:sz w:val="20"/>
                <w:lang w:eastAsia="zh-HK"/>
              </w:rPr>
              <w:t>Deionised</w:t>
            </w:r>
            <w:proofErr w:type="spellEnd"/>
            <w:r w:rsidRPr="00FA5E30">
              <w:rPr>
                <w:rFonts w:ascii="Arial" w:hAnsi="Arial" w:cs="Arial"/>
                <w:sz w:val="20"/>
                <w:lang w:eastAsia="zh-HK"/>
              </w:rPr>
              <w:t xml:space="preserve"> water</w:t>
            </w:r>
          </w:p>
        </w:tc>
        <w:tc>
          <w:tcPr>
            <w:tcW w:w="5548" w:type="dxa"/>
            <w:gridSpan w:val="5"/>
            <w:vAlign w:val="center"/>
          </w:tcPr>
          <w:p w:rsidR="004F7F0D" w:rsidRPr="00FA5E30" w:rsidRDefault="004F7F0D" w:rsidP="004F7F0D">
            <w:pPr>
              <w:jc w:val="center"/>
              <w:rPr>
                <w:rFonts w:ascii="Arial" w:hAnsi="Arial" w:cs="Arial"/>
                <w:sz w:val="20"/>
                <w:lang w:eastAsia="zh-HK"/>
              </w:rPr>
            </w:pPr>
            <w:r>
              <w:rPr>
                <w:rFonts w:ascii="Arial" w:hAnsi="Arial" w:cs="Arial"/>
                <w:sz w:val="20"/>
                <w:lang w:eastAsia="zh-HK"/>
              </w:rPr>
              <w:t>S</w:t>
            </w:r>
            <w:r w:rsidRPr="00FA5E30">
              <w:rPr>
                <w:rFonts w:ascii="Arial" w:hAnsi="Arial" w:cs="Arial"/>
                <w:sz w:val="20"/>
                <w:lang w:eastAsia="zh-HK"/>
              </w:rPr>
              <w:t>tandard</w:t>
            </w:r>
            <w:r>
              <w:rPr>
                <w:rFonts w:ascii="Arial" w:hAnsi="Arial" w:cs="Arial" w:hint="eastAsia"/>
                <w:sz w:val="20"/>
                <w:lang w:eastAsia="zh-HK"/>
              </w:rPr>
              <w:t xml:space="preserve"> </w:t>
            </w:r>
            <w:r w:rsidRPr="00FA5E30">
              <w:rPr>
                <w:rFonts w:ascii="Arial" w:hAnsi="Arial" w:cs="Arial"/>
                <w:sz w:val="20"/>
                <w:lang w:eastAsia="zh-HK"/>
              </w:rPr>
              <w:t>solution</w:t>
            </w:r>
          </w:p>
        </w:tc>
        <w:tc>
          <w:tcPr>
            <w:tcW w:w="1110" w:type="dxa"/>
            <w:vMerge w:val="restart"/>
            <w:vAlign w:val="center"/>
          </w:tcPr>
          <w:p w:rsidR="004F7F0D" w:rsidRPr="00FA5E30" w:rsidRDefault="004F7F0D" w:rsidP="00045A33">
            <w:pPr>
              <w:jc w:val="center"/>
              <w:rPr>
                <w:rFonts w:ascii="Arial" w:hAnsi="Arial" w:cs="Arial"/>
                <w:sz w:val="20"/>
                <w:lang w:eastAsia="zh-HK"/>
              </w:rPr>
            </w:pPr>
            <w:r w:rsidRPr="00FA5E30">
              <w:rPr>
                <w:rFonts w:ascii="Arial" w:hAnsi="Arial" w:cs="Arial"/>
                <w:sz w:val="20"/>
                <w:lang w:eastAsia="zh-HK"/>
              </w:rPr>
              <w:t>Sample solution</w:t>
            </w:r>
          </w:p>
        </w:tc>
      </w:tr>
      <w:tr w:rsidR="004F7F0D" w:rsidRPr="005102B5" w:rsidTr="004F7F0D">
        <w:trPr>
          <w:trHeight w:val="417"/>
        </w:trPr>
        <w:tc>
          <w:tcPr>
            <w:tcW w:w="1809" w:type="dxa"/>
            <w:vMerge/>
            <w:vAlign w:val="center"/>
          </w:tcPr>
          <w:p w:rsidR="004F7F0D" w:rsidRPr="00FA5E30" w:rsidRDefault="004F7F0D" w:rsidP="00045A33">
            <w:pPr>
              <w:spacing w:line="360" w:lineRule="auto"/>
              <w:jc w:val="center"/>
              <w:rPr>
                <w:rFonts w:ascii="Arial" w:hAnsi="Arial" w:cs="Arial"/>
                <w:sz w:val="22"/>
                <w:lang w:eastAsia="zh-HK"/>
              </w:rPr>
            </w:pPr>
          </w:p>
        </w:tc>
        <w:tc>
          <w:tcPr>
            <w:tcW w:w="1109" w:type="dxa"/>
            <w:vMerge/>
            <w:vAlign w:val="center"/>
          </w:tcPr>
          <w:p w:rsidR="004F7F0D" w:rsidRPr="00FA5E30" w:rsidRDefault="004F7F0D" w:rsidP="00045A33">
            <w:pPr>
              <w:jc w:val="center"/>
              <w:rPr>
                <w:rFonts w:ascii="Arial" w:hAnsi="Arial" w:cs="Arial"/>
                <w:sz w:val="20"/>
                <w:lang w:eastAsia="zh-HK"/>
              </w:rPr>
            </w:pPr>
          </w:p>
        </w:tc>
        <w:tc>
          <w:tcPr>
            <w:tcW w:w="1110" w:type="dxa"/>
            <w:vAlign w:val="center"/>
          </w:tcPr>
          <w:p w:rsidR="004F7F0D" w:rsidRPr="00FA5E30" w:rsidRDefault="004F7F0D" w:rsidP="004F7F0D">
            <w:pPr>
              <w:snapToGrid w:val="0"/>
              <w:jc w:val="center"/>
              <w:rPr>
                <w:rFonts w:ascii="Arial" w:hAnsi="Arial" w:cs="Arial"/>
                <w:sz w:val="20"/>
                <w:lang w:eastAsia="zh-HK"/>
              </w:rPr>
            </w:pPr>
            <w:r w:rsidRPr="00FA5E30">
              <w:rPr>
                <w:rFonts w:ascii="Arial" w:hAnsi="Arial" w:cs="Arial"/>
                <w:sz w:val="20"/>
                <w:lang w:eastAsia="zh-HK"/>
              </w:rPr>
              <w:t>2</w:t>
            </w:r>
            <w:r>
              <w:rPr>
                <w:rFonts w:ascii="Arial" w:hAnsi="Arial" w:cs="Arial" w:hint="eastAsia"/>
                <w:sz w:val="20"/>
              </w:rPr>
              <w:t>0</w:t>
            </w:r>
            <w:r w:rsidRPr="00FA5E30">
              <w:rPr>
                <w:rFonts w:ascii="Arial" w:hAnsi="Arial" w:cs="Arial"/>
                <w:sz w:val="20"/>
                <w:lang w:eastAsia="zh-HK"/>
              </w:rPr>
              <w:t xml:space="preserve"> ppm</w:t>
            </w:r>
          </w:p>
        </w:tc>
        <w:tc>
          <w:tcPr>
            <w:tcW w:w="1109" w:type="dxa"/>
            <w:vAlign w:val="center"/>
          </w:tcPr>
          <w:p w:rsidR="004F7F0D" w:rsidRPr="00FA5E30" w:rsidRDefault="004F7F0D" w:rsidP="004F7F0D">
            <w:pPr>
              <w:snapToGrid w:val="0"/>
              <w:jc w:val="center"/>
              <w:rPr>
                <w:rFonts w:ascii="Arial" w:hAnsi="Arial" w:cs="Arial"/>
                <w:sz w:val="20"/>
                <w:lang w:eastAsia="zh-HK"/>
              </w:rPr>
            </w:pPr>
            <w:r w:rsidRPr="00FA5E30">
              <w:rPr>
                <w:rFonts w:ascii="Arial" w:hAnsi="Arial" w:cs="Arial"/>
                <w:sz w:val="20"/>
                <w:lang w:eastAsia="zh-HK"/>
              </w:rPr>
              <w:t>4</w:t>
            </w:r>
            <w:r>
              <w:rPr>
                <w:rFonts w:ascii="Arial" w:hAnsi="Arial" w:cs="Arial" w:hint="eastAsia"/>
                <w:sz w:val="20"/>
              </w:rPr>
              <w:t>0</w:t>
            </w:r>
            <w:r w:rsidRPr="00FA5E30">
              <w:rPr>
                <w:rFonts w:ascii="Arial" w:hAnsi="Arial" w:cs="Arial"/>
                <w:sz w:val="20"/>
                <w:lang w:eastAsia="zh-HK"/>
              </w:rPr>
              <w:t xml:space="preserve"> ppm</w:t>
            </w:r>
          </w:p>
        </w:tc>
        <w:tc>
          <w:tcPr>
            <w:tcW w:w="1110" w:type="dxa"/>
            <w:vAlign w:val="center"/>
          </w:tcPr>
          <w:p w:rsidR="004F7F0D" w:rsidRPr="00FA5E30" w:rsidRDefault="004F7F0D" w:rsidP="004F7F0D">
            <w:pPr>
              <w:snapToGrid w:val="0"/>
              <w:jc w:val="center"/>
              <w:rPr>
                <w:rFonts w:ascii="Arial" w:hAnsi="Arial" w:cs="Arial"/>
                <w:sz w:val="20"/>
                <w:lang w:eastAsia="zh-HK"/>
              </w:rPr>
            </w:pPr>
            <w:r w:rsidRPr="00FA5E30">
              <w:rPr>
                <w:rFonts w:ascii="Arial" w:hAnsi="Arial" w:cs="Arial"/>
                <w:sz w:val="20"/>
                <w:lang w:eastAsia="zh-HK"/>
              </w:rPr>
              <w:t>6</w:t>
            </w:r>
            <w:r>
              <w:rPr>
                <w:rFonts w:ascii="Arial" w:hAnsi="Arial" w:cs="Arial" w:hint="eastAsia"/>
                <w:sz w:val="20"/>
              </w:rPr>
              <w:t>0</w:t>
            </w:r>
            <w:r w:rsidRPr="00FA5E30">
              <w:rPr>
                <w:rFonts w:ascii="Arial" w:hAnsi="Arial" w:cs="Arial"/>
                <w:sz w:val="20"/>
                <w:lang w:eastAsia="zh-HK"/>
              </w:rPr>
              <w:t xml:space="preserve"> ppm</w:t>
            </w:r>
          </w:p>
        </w:tc>
        <w:tc>
          <w:tcPr>
            <w:tcW w:w="1109" w:type="dxa"/>
            <w:vAlign w:val="center"/>
          </w:tcPr>
          <w:p w:rsidR="004F7F0D" w:rsidRPr="00FA5E30" w:rsidRDefault="004F7F0D" w:rsidP="004F7F0D">
            <w:pPr>
              <w:snapToGrid w:val="0"/>
              <w:jc w:val="center"/>
              <w:rPr>
                <w:rFonts w:ascii="Arial" w:hAnsi="Arial" w:cs="Arial"/>
                <w:sz w:val="20"/>
                <w:lang w:eastAsia="zh-HK"/>
              </w:rPr>
            </w:pPr>
            <w:r w:rsidRPr="00FA5E30">
              <w:rPr>
                <w:rFonts w:ascii="Arial" w:hAnsi="Arial" w:cs="Arial"/>
                <w:sz w:val="20"/>
                <w:lang w:eastAsia="zh-HK"/>
              </w:rPr>
              <w:t>8</w:t>
            </w:r>
            <w:r>
              <w:rPr>
                <w:rFonts w:ascii="Arial" w:hAnsi="Arial" w:cs="Arial" w:hint="eastAsia"/>
                <w:sz w:val="20"/>
              </w:rPr>
              <w:t>0</w:t>
            </w:r>
            <w:r w:rsidRPr="00FA5E30">
              <w:rPr>
                <w:rFonts w:ascii="Arial" w:hAnsi="Arial" w:cs="Arial"/>
                <w:sz w:val="20"/>
                <w:lang w:eastAsia="zh-HK"/>
              </w:rPr>
              <w:t xml:space="preserve"> ppm</w:t>
            </w:r>
          </w:p>
        </w:tc>
        <w:tc>
          <w:tcPr>
            <w:tcW w:w="1110" w:type="dxa"/>
            <w:vAlign w:val="center"/>
          </w:tcPr>
          <w:p w:rsidR="004F7F0D" w:rsidRPr="00FA5E30" w:rsidRDefault="004F7F0D" w:rsidP="004F7F0D">
            <w:pPr>
              <w:snapToGrid w:val="0"/>
              <w:jc w:val="center"/>
              <w:rPr>
                <w:rFonts w:ascii="Arial" w:hAnsi="Arial" w:cs="Arial"/>
                <w:sz w:val="20"/>
                <w:lang w:eastAsia="zh-HK"/>
              </w:rPr>
            </w:pPr>
            <w:r w:rsidRPr="00FA5E30">
              <w:rPr>
                <w:rFonts w:ascii="Arial" w:hAnsi="Arial" w:cs="Arial"/>
                <w:sz w:val="20"/>
                <w:lang w:eastAsia="zh-HK"/>
              </w:rPr>
              <w:t>1</w:t>
            </w:r>
            <w:r>
              <w:rPr>
                <w:rFonts w:ascii="Arial" w:hAnsi="Arial" w:cs="Arial" w:hint="eastAsia"/>
                <w:sz w:val="20"/>
              </w:rPr>
              <w:t>0</w:t>
            </w:r>
            <w:r w:rsidRPr="00FA5E30">
              <w:rPr>
                <w:rFonts w:ascii="Arial" w:hAnsi="Arial" w:cs="Arial"/>
                <w:sz w:val="20"/>
                <w:lang w:eastAsia="zh-HK"/>
              </w:rPr>
              <w:t>0 ppm</w:t>
            </w:r>
          </w:p>
        </w:tc>
        <w:tc>
          <w:tcPr>
            <w:tcW w:w="1110" w:type="dxa"/>
            <w:vMerge/>
            <w:vAlign w:val="center"/>
          </w:tcPr>
          <w:p w:rsidR="004F7F0D" w:rsidRPr="00FA5E30" w:rsidRDefault="004F7F0D" w:rsidP="00045A33">
            <w:pPr>
              <w:jc w:val="center"/>
              <w:rPr>
                <w:rFonts w:ascii="Arial" w:hAnsi="Arial" w:cs="Arial"/>
                <w:sz w:val="20"/>
                <w:lang w:eastAsia="zh-HK"/>
              </w:rPr>
            </w:pPr>
          </w:p>
        </w:tc>
      </w:tr>
      <w:tr w:rsidR="00FE43BE" w:rsidRPr="005102B5" w:rsidTr="00045A33">
        <w:tc>
          <w:tcPr>
            <w:tcW w:w="1809" w:type="dxa"/>
            <w:vAlign w:val="center"/>
          </w:tcPr>
          <w:p w:rsidR="00FE43BE" w:rsidRPr="00FA5E30" w:rsidRDefault="00FE43BE" w:rsidP="00045A33">
            <w:pPr>
              <w:spacing w:line="360" w:lineRule="auto"/>
              <w:jc w:val="center"/>
              <w:rPr>
                <w:rFonts w:ascii="Arial" w:hAnsi="Arial" w:cs="Arial"/>
                <w:sz w:val="20"/>
                <w:lang w:eastAsia="zh-HK"/>
              </w:rPr>
            </w:pPr>
            <w:r>
              <w:rPr>
                <w:rFonts w:ascii="Arial" w:hAnsi="Arial" w:cs="Arial"/>
                <w:sz w:val="20"/>
                <w:lang w:eastAsia="zh-HK"/>
              </w:rPr>
              <w:t>Voltage</w:t>
            </w:r>
            <w:r>
              <w:rPr>
                <w:rFonts w:ascii="Arial" w:hAnsi="Arial" w:cs="Arial" w:hint="eastAsia"/>
                <w:sz w:val="20"/>
                <w:lang w:eastAsia="zh-HK"/>
              </w:rPr>
              <w:t xml:space="preserve"> </w:t>
            </w:r>
            <w:r w:rsidRPr="00FA5E30">
              <w:rPr>
                <w:rFonts w:ascii="Arial" w:hAnsi="Arial" w:cs="Arial"/>
                <w:sz w:val="20"/>
              </w:rPr>
              <w:t>measured</w:t>
            </w:r>
            <w:r w:rsidRPr="00FA5E30">
              <w:rPr>
                <w:rFonts w:ascii="Arial" w:hAnsi="Arial" w:cs="Arial" w:hint="eastAsia"/>
                <w:sz w:val="20"/>
                <w:lang w:eastAsia="zh-HK"/>
              </w:rPr>
              <w:t xml:space="preserve"> </w:t>
            </w:r>
            <w:r>
              <w:rPr>
                <w:rFonts w:ascii="Arial" w:hAnsi="Arial" w:cs="Arial"/>
                <w:sz w:val="20"/>
                <w:lang w:eastAsia="zh-HK"/>
              </w:rPr>
              <w:br/>
            </w:r>
            <w:r w:rsidRPr="00FA5E30">
              <w:rPr>
                <w:rFonts w:ascii="Arial" w:hAnsi="Arial" w:cs="Arial"/>
                <w:sz w:val="20"/>
                <w:lang w:eastAsia="zh-HK"/>
              </w:rPr>
              <w:t>(V</w:t>
            </w:r>
            <w:r w:rsidRPr="00FA5E30">
              <w:rPr>
                <w:rFonts w:ascii="Arial" w:hAnsi="Arial" w:cs="Arial"/>
                <w:sz w:val="20"/>
                <w:vertAlign w:val="subscript"/>
              </w:rPr>
              <w:t>0</w:t>
            </w:r>
            <w:r w:rsidRPr="00FA5E30">
              <w:rPr>
                <w:rFonts w:ascii="Arial" w:hAnsi="Arial" w:cs="Arial"/>
                <w:sz w:val="20"/>
              </w:rPr>
              <w:t xml:space="preserve"> or</w:t>
            </w:r>
            <w:r w:rsidRPr="00FA5E30">
              <w:rPr>
                <w:rFonts w:ascii="Arial" w:hAnsi="Arial" w:cs="Arial"/>
                <w:sz w:val="20"/>
                <w:lang w:eastAsia="zh-HK"/>
              </w:rPr>
              <w:t xml:space="preserve"> V</w:t>
            </w:r>
            <w:r w:rsidRPr="00FA5E30">
              <w:rPr>
                <w:rFonts w:ascii="Arial" w:hAnsi="Arial" w:cs="Arial"/>
                <w:sz w:val="20"/>
                <w:vertAlign w:val="subscript"/>
              </w:rPr>
              <w:t>s</w:t>
            </w:r>
            <w:r w:rsidRPr="00FA5E30">
              <w:rPr>
                <w:rFonts w:ascii="Arial" w:hAnsi="Arial" w:cs="Arial"/>
                <w:sz w:val="20"/>
              </w:rPr>
              <w:t>)</w:t>
            </w:r>
          </w:p>
        </w:tc>
        <w:tc>
          <w:tcPr>
            <w:tcW w:w="1109" w:type="dxa"/>
            <w:tcBorders>
              <w:bottom w:val="single" w:sz="4" w:space="0" w:color="auto"/>
            </w:tcBorders>
            <w:vAlign w:val="center"/>
          </w:tcPr>
          <w:p w:rsidR="00FE43BE" w:rsidRPr="007D63CE" w:rsidRDefault="007D63CE" w:rsidP="00045A33">
            <w:pPr>
              <w:spacing w:line="360" w:lineRule="auto"/>
              <w:jc w:val="center"/>
              <w:rPr>
                <w:rFonts w:ascii="Arial" w:hAnsi="Arial" w:cs="Arial"/>
                <w:color w:val="FF0000"/>
                <w:sz w:val="22"/>
                <w:lang w:eastAsia="zh-HK"/>
              </w:rPr>
            </w:pPr>
            <w:r w:rsidRPr="007D63CE">
              <w:rPr>
                <w:rFonts w:ascii="Arial" w:hAnsi="Arial" w:cs="Arial" w:hint="eastAsia"/>
                <w:color w:val="FF0000"/>
                <w:sz w:val="22"/>
                <w:lang w:eastAsia="zh-HK"/>
              </w:rPr>
              <w:t>96</w:t>
            </w:r>
          </w:p>
        </w:tc>
        <w:tc>
          <w:tcPr>
            <w:tcW w:w="1110" w:type="dxa"/>
            <w:vAlign w:val="center"/>
          </w:tcPr>
          <w:p w:rsidR="00FE43BE" w:rsidRPr="007D63CE" w:rsidRDefault="007D63CE" w:rsidP="00045A33">
            <w:pPr>
              <w:spacing w:line="360" w:lineRule="auto"/>
              <w:jc w:val="center"/>
              <w:rPr>
                <w:rFonts w:ascii="Arial" w:hAnsi="Arial" w:cs="Arial"/>
                <w:color w:val="FF0000"/>
                <w:sz w:val="22"/>
                <w:lang w:eastAsia="zh-HK"/>
              </w:rPr>
            </w:pPr>
            <w:r w:rsidRPr="007D63CE">
              <w:rPr>
                <w:rFonts w:ascii="Arial" w:hAnsi="Arial" w:cs="Arial" w:hint="eastAsia"/>
                <w:color w:val="FF0000"/>
                <w:sz w:val="22"/>
                <w:lang w:eastAsia="zh-HK"/>
              </w:rPr>
              <w:t>41</w:t>
            </w:r>
          </w:p>
        </w:tc>
        <w:tc>
          <w:tcPr>
            <w:tcW w:w="1109" w:type="dxa"/>
            <w:vAlign w:val="center"/>
          </w:tcPr>
          <w:p w:rsidR="00FE43BE" w:rsidRPr="007D63CE" w:rsidRDefault="007D63CE" w:rsidP="00045A33">
            <w:pPr>
              <w:spacing w:line="360" w:lineRule="auto"/>
              <w:jc w:val="center"/>
              <w:rPr>
                <w:rFonts w:ascii="Arial" w:hAnsi="Arial" w:cs="Arial"/>
                <w:color w:val="FF0000"/>
                <w:sz w:val="22"/>
                <w:lang w:eastAsia="zh-HK"/>
              </w:rPr>
            </w:pPr>
            <w:r w:rsidRPr="007D63CE">
              <w:rPr>
                <w:rFonts w:ascii="Arial" w:hAnsi="Arial" w:cs="Arial" w:hint="eastAsia"/>
                <w:color w:val="FF0000"/>
                <w:sz w:val="22"/>
                <w:lang w:eastAsia="zh-HK"/>
              </w:rPr>
              <w:t>23</w:t>
            </w:r>
          </w:p>
        </w:tc>
        <w:tc>
          <w:tcPr>
            <w:tcW w:w="1110" w:type="dxa"/>
            <w:vAlign w:val="center"/>
          </w:tcPr>
          <w:p w:rsidR="00FE43BE" w:rsidRPr="007D63CE" w:rsidRDefault="007D63CE" w:rsidP="00045A33">
            <w:pPr>
              <w:spacing w:line="360" w:lineRule="auto"/>
              <w:jc w:val="center"/>
              <w:rPr>
                <w:rFonts w:ascii="Arial" w:hAnsi="Arial" w:cs="Arial"/>
                <w:color w:val="FF0000"/>
                <w:sz w:val="22"/>
                <w:lang w:eastAsia="zh-HK"/>
              </w:rPr>
            </w:pPr>
            <w:r w:rsidRPr="007D63CE">
              <w:rPr>
                <w:rFonts w:ascii="Arial" w:hAnsi="Arial" w:cs="Arial" w:hint="eastAsia"/>
                <w:color w:val="FF0000"/>
                <w:sz w:val="22"/>
                <w:lang w:eastAsia="zh-HK"/>
              </w:rPr>
              <w:t>12</w:t>
            </w:r>
          </w:p>
        </w:tc>
        <w:tc>
          <w:tcPr>
            <w:tcW w:w="1109" w:type="dxa"/>
            <w:vAlign w:val="center"/>
          </w:tcPr>
          <w:p w:rsidR="00FE43BE" w:rsidRPr="007D63CE" w:rsidRDefault="007D63CE" w:rsidP="00045A33">
            <w:pPr>
              <w:spacing w:line="360" w:lineRule="auto"/>
              <w:jc w:val="center"/>
              <w:rPr>
                <w:rFonts w:ascii="Arial" w:hAnsi="Arial" w:cs="Arial"/>
                <w:color w:val="FF0000"/>
                <w:sz w:val="22"/>
                <w:lang w:eastAsia="zh-HK"/>
              </w:rPr>
            </w:pPr>
            <w:r w:rsidRPr="007D63CE">
              <w:rPr>
                <w:rFonts w:ascii="Arial" w:hAnsi="Arial" w:cs="Arial" w:hint="eastAsia"/>
                <w:color w:val="FF0000"/>
                <w:sz w:val="22"/>
                <w:lang w:eastAsia="zh-HK"/>
              </w:rPr>
              <w:t>10</w:t>
            </w:r>
          </w:p>
        </w:tc>
        <w:tc>
          <w:tcPr>
            <w:tcW w:w="1110" w:type="dxa"/>
            <w:vAlign w:val="center"/>
          </w:tcPr>
          <w:p w:rsidR="00FE43BE" w:rsidRPr="007D63CE" w:rsidRDefault="007D63CE" w:rsidP="00045A33">
            <w:pPr>
              <w:spacing w:line="360" w:lineRule="auto"/>
              <w:jc w:val="center"/>
              <w:rPr>
                <w:rFonts w:ascii="Arial" w:hAnsi="Arial" w:cs="Arial"/>
                <w:color w:val="FF0000"/>
                <w:sz w:val="22"/>
                <w:lang w:eastAsia="zh-HK"/>
              </w:rPr>
            </w:pPr>
            <w:r w:rsidRPr="007D63CE">
              <w:rPr>
                <w:rFonts w:ascii="Arial" w:hAnsi="Arial" w:cs="Arial" w:hint="eastAsia"/>
                <w:color w:val="FF0000"/>
                <w:sz w:val="22"/>
                <w:lang w:eastAsia="zh-HK"/>
              </w:rPr>
              <w:t>7</w:t>
            </w:r>
          </w:p>
        </w:tc>
        <w:tc>
          <w:tcPr>
            <w:tcW w:w="1110" w:type="dxa"/>
            <w:vAlign w:val="center"/>
          </w:tcPr>
          <w:p w:rsidR="00FE43BE" w:rsidRPr="007D63CE" w:rsidRDefault="007D63CE" w:rsidP="00045A33">
            <w:pPr>
              <w:spacing w:line="360" w:lineRule="auto"/>
              <w:jc w:val="center"/>
              <w:rPr>
                <w:rFonts w:ascii="Arial" w:hAnsi="Arial" w:cs="Arial"/>
                <w:color w:val="FF0000"/>
                <w:sz w:val="22"/>
                <w:lang w:eastAsia="zh-HK"/>
              </w:rPr>
            </w:pPr>
            <w:r w:rsidRPr="007D63CE">
              <w:rPr>
                <w:rFonts w:ascii="Arial" w:hAnsi="Arial" w:cs="Arial" w:hint="eastAsia"/>
                <w:color w:val="FF0000"/>
                <w:sz w:val="22"/>
                <w:lang w:eastAsia="zh-HK"/>
              </w:rPr>
              <w:t>23</w:t>
            </w:r>
          </w:p>
        </w:tc>
      </w:tr>
      <w:tr w:rsidR="00FE43BE" w:rsidRPr="005102B5" w:rsidTr="004F7F0D">
        <w:trPr>
          <w:trHeight w:val="643"/>
        </w:trPr>
        <w:tc>
          <w:tcPr>
            <w:tcW w:w="1809" w:type="dxa"/>
            <w:vAlign w:val="center"/>
          </w:tcPr>
          <w:p w:rsidR="00FE43BE" w:rsidRPr="00FA5E30" w:rsidRDefault="00FE43BE" w:rsidP="00045A33">
            <w:pPr>
              <w:spacing w:line="360" w:lineRule="auto"/>
              <w:jc w:val="center"/>
              <w:rPr>
                <w:rFonts w:ascii="Arial" w:hAnsi="Arial" w:cs="Arial"/>
                <w:sz w:val="20"/>
                <w:lang w:eastAsia="zh-HK"/>
              </w:rPr>
            </w:pPr>
            <w:r w:rsidRPr="00FA5E30">
              <w:rPr>
                <w:rFonts w:ascii="Arial" w:hAnsi="Arial" w:cs="Arial"/>
                <w:sz w:val="20"/>
                <w:lang w:eastAsia="zh-HK"/>
              </w:rPr>
              <w:t>A</w:t>
            </w:r>
            <w:r w:rsidRPr="00FA5E30">
              <w:rPr>
                <w:rFonts w:ascii="Arial" w:hAnsi="Arial" w:cs="Arial"/>
                <w:sz w:val="20"/>
              </w:rPr>
              <w:t>bsorbance</w:t>
            </w:r>
            <w:r w:rsidRPr="00FA5E30">
              <w:rPr>
                <w:rFonts w:ascii="Arial" w:hAnsi="Arial" w:cs="Arial" w:hint="eastAsia"/>
                <w:sz w:val="20"/>
              </w:rPr>
              <w:t xml:space="preserve"> </w:t>
            </w:r>
            <w:r w:rsidRPr="00FA5E30">
              <w:rPr>
                <w:rFonts w:ascii="Arial" w:hAnsi="Arial" w:cs="Arial"/>
                <w:sz w:val="20"/>
              </w:rPr>
              <w:t>(A)</w:t>
            </w:r>
          </w:p>
        </w:tc>
        <w:tc>
          <w:tcPr>
            <w:tcW w:w="1109" w:type="dxa"/>
            <w:tcBorders>
              <w:tl2br w:val="single" w:sz="4" w:space="0" w:color="auto"/>
            </w:tcBorders>
            <w:vAlign w:val="center"/>
          </w:tcPr>
          <w:p w:rsidR="00FE43BE" w:rsidRPr="00FA5E30" w:rsidRDefault="00FE43BE" w:rsidP="00045A33">
            <w:pPr>
              <w:spacing w:line="360" w:lineRule="auto"/>
              <w:jc w:val="center"/>
              <w:rPr>
                <w:rFonts w:ascii="Arial" w:hAnsi="Arial" w:cs="Arial"/>
                <w:sz w:val="22"/>
                <w:lang w:eastAsia="zh-HK"/>
              </w:rPr>
            </w:pPr>
          </w:p>
        </w:tc>
        <w:tc>
          <w:tcPr>
            <w:tcW w:w="1110" w:type="dxa"/>
            <w:vAlign w:val="center"/>
          </w:tcPr>
          <w:p w:rsidR="00FE43BE" w:rsidRPr="007F7D1A" w:rsidRDefault="007F7D1A" w:rsidP="00045A33">
            <w:pPr>
              <w:spacing w:line="360" w:lineRule="auto"/>
              <w:jc w:val="center"/>
              <w:rPr>
                <w:rFonts w:ascii="Arial" w:hAnsi="Arial" w:cs="Arial"/>
                <w:color w:val="FF0000"/>
                <w:sz w:val="22"/>
                <w:lang w:eastAsia="zh-HK"/>
              </w:rPr>
            </w:pPr>
            <w:r w:rsidRPr="007F7D1A">
              <w:rPr>
                <w:rFonts w:ascii="Arial" w:hAnsi="Arial" w:cs="Arial" w:hint="eastAsia"/>
                <w:color w:val="FF0000"/>
                <w:sz w:val="22"/>
                <w:lang w:eastAsia="zh-HK"/>
              </w:rPr>
              <w:t>2.341</w:t>
            </w:r>
          </w:p>
        </w:tc>
        <w:tc>
          <w:tcPr>
            <w:tcW w:w="1109" w:type="dxa"/>
            <w:vAlign w:val="center"/>
          </w:tcPr>
          <w:p w:rsidR="00FE43BE" w:rsidRPr="007F7D1A" w:rsidRDefault="007F7D1A" w:rsidP="00045A33">
            <w:pPr>
              <w:spacing w:line="360" w:lineRule="auto"/>
              <w:jc w:val="center"/>
              <w:rPr>
                <w:rFonts w:ascii="Arial" w:hAnsi="Arial" w:cs="Arial"/>
                <w:color w:val="FF0000"/>
                <w:sz w:val="22"/>
                <w:lang w:eastAsia="zh-HK"/>
              </w:rPr>
            </w:pPr>
            <w:r w:rsidRPr="007F7D1A">
              <w:rPr>
                <w:rFonts w:ascii="Arial" w:hAnsi="Arial" w:cs="Arial" w:hint="eastAsia"/>
                <w:color w:val="FF0000"/>
                <w:sz w:val="22"/>
                <w:lang w:eastAsia="zh-HK"/>
              </w:rPr>
              <w:t>4.174</w:t>
            </w:r>
          </w:p>
        </w:tc>
        <w:tc>
          <w:tcPr>
            <w:tcW w:w="1110" w:type="dxa"/>
            <w:vAlign w:val="center"/>
          </w:tcPr>
          <w:p w:rsidR="00FE43BE" w:rsidRPr="007F7D1A" w:rsidRDefault="007F7D1A" w:rsidP="00045A33">
            <w:pPr>
              <w:spacing w:line="360" w:lineRule="auto"/>
              <w:jc w:val="center"/>
              <w:rPr>
                <w:rFonts w:ascii="Arial" w:hAnsi="Arial" w:cs="Arial"/>
                <w:color w:val="FF0000"/>
                <w:sz w:val="22"/>
                <w:lang w:eastAsia="zh-HK"/>
              </w:rPr>
            </w:pPr>
            <w:r w:rsidRPr="007F7D1A">
              <w:rPr>
                <w:rFonts w:ascii="Arial" w:hAnsi="Arial" w:cs="Arial" w:hint="eastAsia"/>
                <w:color w:val="FF0000"/>
                <w:sz w:val="22"/>
                <w:lang w:eastAsia="zh-HK"/>
              </w:rPr>
              <w:t>8.000</w:t>
            </w:r>
          </w:p>
        </w:tc>
        <w:tc>
          <w:tcPr>
            <w:tcW w:w="1109" w:type="dxa"/>
            <w:vAlign w:val="center"/>
          </w:tcPr>
          <w:p w:rsidR="00FE43BE" w:rsidRPr="007F7D1A" w:rsidRDefault="007F7D1A" w:rsidP="00045A33">
            <w:pPr>
              <w:spacing w:line="360" w:lineRule="auto"/>
              <w:jc w:val="center"/>
              <w:rPr>
                <w:rFonts w:ascii="Arial" w:hAnsi="Arial" w:cs="Arial"/>
                <w:color w:val="FF0000"/>
                <w:sz w:val="22"/>
                <w:lang w:eastAsia="zh-HK"/>
              </w:rPr>
            </w:pPr>
            <w:r w:rsidRPr="007F7D1A">
              <w:rPr>
                <w:rFonts w:ascii="Arial" w:hAnsi="Arial" w:cs="Arial" w:hint="eastAsia"/>
                <w:color w:val="FF0000"/>
                <w:sz w:val="22"/>
                <w:lang w:eastAsia="zh-HK"/>
              </w:rPr>
              <w:t>9.600</w:t>
            </w:r>
          </w:p>
        </w:tc>
        <w:tc>
          <w:tcPr>
            <w:tcW w:w="1110" w:type="dxa"/>
            <w:vAlign w:val="center"/>
          </w:tcPr>
          <w:p w:rsidR="00FE43BE" w:rsidRPr="007F7D1A" w:rsidRDefault="007F7D1A" w:rsidP="004F7F0D">
            <w:pPr>
              <w:spacing w:line="360" w:lineRule="auto"/>
              <w:jc w:val="center"/>
              <w:rPr>
                <w:rFonts w:ascii="Arial" w:hAnsi="Arial" w:cs="Arial"/>
                <w:color w:val="FF0000"/>
                <w:sz w:val="22"/>
                <w:lang w:eastAsia="zh-HK"/>
              </w:rPr>
            </w:pPr>
            <w:r w:rsidRPr="007F7D1A">
              <w:rPr>
                <w:rFonts w:ascii="Arial" w:hAnsi="Arial" w:cs="Arial" w:hint="eastAsia"/>
                <w:color w:val="FF0000"/>
                <w:sz w:val="22"/>
                <w:lang w:eastAsia="zh-HK"/>
              </w:rPr>
              <w:t>13.714</w:t>
            </w:r>
          </w:p>
        </w:tc>
        <w:tc>
          <w:tcPr>
            <w:tcW w:w="1110" w:type="dxa"/>
            <w:vAlign w:val="center"/>
          </w:tcPr>
          <w:p w:rsidR="00FE43BE" w:rsidRPr="007F7D1A" w:rsidRDefault="007F7D1A" w:rsidP="00045A33">
            <w:pPr>
              <w:spacing w:line="360" w:lineRule="auto"/>
              <w:jc w:val="center"/>
              <w:rPr>
                <w:rFonts w:ascii="Arial" w:hAnsi="Arial" w:cs="Arial"/>
                <w:color w:val="FF0000"/>
                <w:sz w:val="22"/>
                <w:lang w:eastAsia="zh-HK"/>
              </w:rPr>
            </w:pPr>
            <w:r w:rsidRPr="007F7D1A">
              <w:rPr>
                <w:rFonts w:ascii="Arial" w:hAnsi="Arial" w:cs="Arial" w:hint="eastAsia"/>
                <w:color w:val="FF0000"/>
                <w:sz w:val="22"/>
                <w:lang w:eastAsia="zh-HK"/>
              </w:rPr>
              <w:t>4.174</w:t>
            </w:r>
          </w:p>
        </w:tc>
      </w:tr>
    </w:tbl>
    <w:p w:rsidR="00FE43BE" w:rsidRPr="005102B5" w:rsidRDefault="00FE43BE" w:rsidP="00FE43BE">
      <w:pPr>
        <w:pStyle w:val="ListParagraph"/>
        <w:widowControl w:val="0"/>
        <w:spacing w:after="0" w:line="360" w:lineRule="auto"/>
        <w:ind w:left="480"/>
        <w:jc w:val="both"/>
        <w:rPr>
          <w:rFonts w:ascii="Times New Roman" w:hAnsi="Times New Roman" w:cs="Times New Roman"/>
          <w:sz w:val="24"/>
          <w:szCs w:val="24"/>
        </w:rPr>
      </w:pPr>
    </w:p>
    <w:p w:rsidR="00FE43BE" w:rsidRDefault="00FE43BE" w:rsidP="00FE43BE">
      <w:pPr>
        <w:pStyle w:val="ListParagraph"/>
        <w:widowControl w:val="0"/>
        <w:numPr>
          <w:ilvl w:val="0"/>
          <w:numId w:val="12"/>
        </w:numPr>
        <w:spacing w:after="0" w:line="360" w:lineRule="auto"/>
        <w:ind w:left="1202" w:hanging="482"/>
        <w:jc w:val="both"/>
        <w:rPr>
          <w:rFonts w:ascii="Arial" w:hAnsi="Arial" w:cs="Arial"/>
        </w:rPr>
      </w:pPr>
      <w:r w:rsidRPr="00FA5E30">
        <w:rPr>
          <w:rFonts w:ascii="Arial" w:hAnsi="Arial" w:cs="Arial"/>
        </w:rPr>
        <w:t xml:space="preserve">Plot a calibration curve (A vs c) below.  Since A </w:t>
      </w:r>
      <w:r w:rsidRPr="00FA5E30">
        <w:rPr>
          <w:rFonts w:ascii="Arial" w:hAnsi="Arial" w:cs="Arial"/>
        </w:rPr>
        <w:sym w:font="Symbol" w:char="F0B5"/>
      </w:r>
      <w:r w:rsidRPr="00FA5E30">
        <w:rPr>
          <w:rFonts w:ascii="Arial" w:hAnsi="Arial" w:cs="Arial"/>
        </w:rPr>
        <w:t xml:space="preserve"> c, a straight line is expected.  </w:t>
      </w:r>
    </w:p>
    <w:p w:rsidR="00FE43BE" w:rsidRPr="007F7D1A" w:rsidRDefault="00FE43BE" w:rsidP="007F7D1A">
      <w:pPr>
        <w:widowControl w:val="0"/>
        <w:spacing w:after="0" w:line="360" w:lineRule="auto"/>
        <w:jc w:val="both"/>
        <w:rPr>
          <w:rFonts w:ascii="Arial" w:hAnsi="Arial" w:cs="Arial"/>
        </w:rPr>
      </w:pPr>
    </w:p>
    <w:p w:rsidR="00FE43BE" w:rsidRDefault="007F7D1A" w:rsidP="007F7D1A">
      <w:pPr>
        <w:pStyle w:val="ListParagraph"/>
        <w:widowControl w:val="0"/>
        <w:spacing w:after="0" w:line="360" w:lineRule="auto"/>
        <w:ind w:left="1202"/>
        <w:jc w:val="center"/>
        <w:rPr>
          <w:rFonts w:ascii="Arial" w:hAnsi="Arial" w:cs="Arial"/>
          <w:color w:val="FF0000"/>
        </w:rPr>
      </w:pPr>
      <w:r>
        <w:rPr>
          <w:rFonts w:ascii="Arial" w:hAnsi="Arial" w:cs="Arial"/>
          <w:noProof/>
          <w:color w:val="FF0000"/>
        </w:rPr>
        <w:drawing>
          <wp:inline distT="0" distB="0" distL="0" distR="0" wp14:anchorId="4AB6F62E" wp14:editId="680F1E92">
            <wp:extent cx="2577360" cy="22131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7926" cy="2213612"/>
                    </a:xfrm>
                    <a:prstGeom prst="rect">
                      <a:avLst/>
                    </a:prstGeom>
                    <a:noFill/>
                  </pic:spPr>
                </pic:pic>
              </a:graphicData>
            </a:graphic>
          </wp:inline>
        </w:drawing>
      </w:r>
    </w:p>
    <w:p w:rsidR="00FE43BE" w:rsidRPr="00FE43BE" w:rsidRDefault="00FE43BE" w:rsidP="00FE43BE">
      <w:pPr>
        <w:widowControl w:val="0"/>
        <w:spacing w:after="0" w:line="360" w:lineRule="auto"/>
        <w:jc w:val="both"/>
        <w:rPr>
          <w:rFonts w:ascii="Arial" w:hAnsi="Arial" w:cs="Arial"/>
          <w:color w:val="FF0000"/>
        </w:rPr>
      </w:pPr>
    </w:p>
    <w:p w:rsidR="00AC044A" w:rsidRPr="00417017" w:rsidRDefault="004F7F0D" w:rsidP="004F7F0D">
      <w:pPr>
        <w:pStyle w:val="ListParagraph"/>
        <w:widowControl w:val="0"/>
        <w:numPr>
          <w:ilvl w:val="0"/>
          <w:numId w:val="12"/>
        </w:numPr>
        <w:spacing w:after="0" w:line="360" w:lineRule="auto"/>
        <w:ind w:left="1202" w:hanging="482"/>
        <w:jc w:val="both"/>
        <w:rPr>
          <w:rFonts w:ascii="Arial" w:hAnsi="Arial" w:cs="Arial"/>
        </w:rPr>
      </w:pPr>
      <w:r>
        <w:rPr>
          <w:rFonts w:ascii="Arial" w:hAnsi="Arial" w:cs="Arial"/>
        </w:rPr>
        <w:t>Determine</w:t>
      </w:r>
      <w:r w:rsidRPr="00FA5E30">
        <w:rPr>
          <w:rFonts w:ascii="Arial" w:hAnsi="Arial" w:cs="Arial"/>
        </w:rPr>
        <w:t xml:space="preserve"> the concentration of the </w:t>
      </w:r>
      <w:r>
        <w:rPr>
          <w:rFonts w:ascii="Arial" w:hAnsi="Arial" w:cs="Arial" w:hint="eastAsia"/>
        </w:rPr>
        <w:t xml:space="preserve">food dye in the soft </w:t>
      </w:r>
      <w:r w:rsidRPr="00FA5E30">
        <w:rPr>
          <w:rFonts w:ascii="Arial" w:hAnsi="Arial" w:cs="Arial"/>
        </w:rPr>
        <w:t>drink sample from the calibration curve.</w:t>
      </w:r>
      <w:r>
        <w:rPr>
          <w:rFonts w:ascii="Arial" w:hAnsi="Arial" w:cs="Arial"/>
        </w:rPr>
        <w:t xml:space="preserve">  </w:t>
      </w:r>
      <w:r w:rsidR="00FE43BE" w:rsidRPr="00FA5E30">
        <w:rPr>
          <w:rFonts w:ascii="Arial" w:hAnsi="Arial" w:cs="Arial"/>
        </w:rPr>
        <w:t xml:space="preserve">From the calibration curve, the concentration of Sunset Yellow FCF in the given drink sample = </w:t>
      </w:r>
      <w:r w:rsidR="00417017" w:rsidRPr="004F7F0D">
        <w:rPr>
          <w:rFonts w:ascii="Arial" w:hAnsi="Arial" w:cs="Arial" w:hint="eastAsia"/>
          <w:color w:val="FF0000"/>
        </w:rPr>
        <w:t xml:space="preserve">36 </w:t>
      </w:r>
      <w:r w:rsidR="00417017" w:rsidRPr="004F7F0D">
        <w:rPr>
          <w:rFonts w:ascii="Arial" w:hAnsi="Arial" w:cs="Arial" w:hint="eastAsia"/>
          <w:color w:val="FF0000"/>
        </w:rPr>
        <w:t>÷</w:t>
      </w:r>
      <w:r w:rsidR="00417017" w:rsidRPr="004F7F0D">
        <w:rPr>
          <w:rFonts w:ascii="Arial" w:hAnsi="Arial" w:cs="Arial" w:hint="eastAsia"/>
          <w:color w:val="FF0000"/>
        </w:rPr>
        <w:t xml:space="preserve"> 5 cm</w:t>
      </w:r>
      <w:r w:rsidR="00417017" w:rsidRPr="004F7F0D">
        <w:rPr>
          <w:rFonts w:ascii="Arial" w:hAnsi="Arial" w:cs="Arial" w:hint="eastAsia"/>
          <w:color w:val="FF0000"/>
          <w:vertAlign w:val="superscript"/>
        </w:rPr>
        <w:t>3</w:t>
      </w:r>
      <w:r w:rsidR="00417017" w:rsidRPr="004F7F0D">
        <w:rPr>
          <w:rFonts w:ascii="Arial" w:hAnsi="Arial" w:cs="Arial" w:hint="eastAsia"/>
          <w:color w:val="FF0000"/>
        </w:rPr>
        <w:t xml:space="preserve"> </w:t>
      </w:r>
      <w:r w:rsidR="00417017" w:rsidRPr="004F7F0D">
        <w:rPr>
          <w:rFonts w:ascii="Arial" w:hAnsi="Arial" w:cs="Arial" w:hint="eastAsia"/>
          <w:color w:val="FF0000"/>
        </w:rPr>
        <w:t>×</w:t>
      </w:r>
      <w:r w:rsidR="00417017" w:rsidRPr="004F7F0D">
        <w:rPr>
          <w:rFonts w:ascii="Arial" w:hAnsi="Arial" w:cs="Arial" w:hint="eastAsia"/>
          <w:color w:val="FF0000"/>
        </w:rPr>
        <w:t xml:space="preserve"> 10 cm</w:t>
      </w:r>
      <w:r w:rsidRPr="004F7F0D">
        <w:rPr>
          <w:rFonts w:ascii="Arial" w:hAnsi="Arial" w:cs="Arial" w:hint="eastAsia"/>
          <w:color w:val="FF0000"/>
          <w:vertAlign w:val="superscript"/>
        </w:rPr>
        <w:t>3</w:t>
      </w:r>
      <w:r w:rsidR="00417017" w:rsidRPr="00417017">
        <w:rPr>
          <w:rFonts w:ascii="Arial" w:hAnsi="Arial" w:cs="Arial" w:hint="eastAsia"/>
        </w:rPr>
        <w:t xml:space="preserve"> =</w:t>
      </w:r>
      <w:r w:rsidR="00417017">
        <w:rPr>
          <w:rFonts w:ascii="Arial" w:hAnsi="Arial" w:cs="Arial" w:hint="eastAsia"/>
        </w:rPr>
        <w:t xml:space="preserve"> </w:t>
      </w:r>
      <w:r w:rsidR="00417017" w:rsidRPr="004F7F0D">
        <w:rPr>
          <w:rFonts w:ascii="Arial" w:hAnsi="Arial" w:cs="Arial" w:hint="eastAsia"/>
          <w:color w:val="FF0000"/>
        </w:rPr>
        <w:t>72</w:t>
      </w:r>
      <w:r w:rsidR="00FE43BE" w:rsidRPr="00FA5E30">
        <w:rPr>
          <w:rFonts w:ascii="Arial" w:hAnsi="Arial" w:cs="Arial"/>
        </w:rPr>
        <w:t xml:space="preserve"> ppm.</w:t>
      </w:r>
      <w:r w:rsidR="00FE43BE" w:rsidRPr="004F7F0D">
        <w:rPr>
          <w:rFonts w:ascii="Arial" w:hAnsi="Arial" w:cs="Arial"/>
        </w:rPr>
        <w:br w:type="page"/>
      </w:r>
    </w:p>
    <w:p w:rsidR="00FE43BE" w:rsidRPr="00A73F8F" w:rsidRDefault="00FE43BE" w:rsidP="00FE43BE">
      <w:pPr>
        <w:spacing w:after="0" w:line="360" w:lineRule="auto"/>
        <w:jc w:val="both"/>
        <w:rPr>
          <w:rFonts w:ascii="Arial" w:hAnsi="Arial" w:cs="Arial"/>
          <w:b/>
          <w:sz w:val="24"/>
          <w:szCs w:val="24"/>
        </w:rPr>
      </w:pPr>
      <w:r>
        <w:rPr>
          <w:rFonts w:ascii="Arial" w:hAnsi="Arial" w:cs="Arial" w:hint="eastAsia"/>
          <w:b/>
          <w:sz w:val="24"/>
          <w:szCs w:val="24"/>
        </w:rPr>
        <w:lastRenderedPageBreak/>
        <w:t>Answers for the questions:</w:t>
      </w:r>
    </w:p>
    <w:p w:rsidR="00FE43BE" w:rsidRDefault="00FE43BE" w:rsidP="00FE43BE">
      <w:pPr>
        <w:widowControl w:val="0"/>
        <w:spacing w:after="0" w:line="360" w:lineRule="auto"/>
        <w:ind w:firstLine="480"/>
        <w:jc w:val="both"/>
        <w:rPr>
          <w:rFonts w:ascii="Arial" w:hAnsi="Arial" w:cs="Arial"/>
          <w:b/>
          <w:i/>
          <w:szCs w:val="24"/>
        </w:rPr>
      </w:pPr>
      <w:r w:rsidRPr="00311D58">
        <w:rPr>
          <w:rFonts w:ascii="Arial" w:hAnsi="Arial" w:cs="Arial"/>
          <w:b/>
          <w:szCs w:val="24"/>
        </w:rPr>
        <w:t xml:space="preserve"> </w:t>
      </w:r>
      <w:r w:rsidRPr="00311D58">
        <w:rPr>
          <w:rFonts w:ascii="Arial" w:hAnsi="Arial" w:cs="Arial"/>
          <w:b/>
          <w:i/>
          <w:szCs w:val="24"/>
        </w:rPr>
        <w:t>(Teachers may choose the questions appropriate for their students to work out.)</w:t>
      </w:r>
    </w:p>
    <w:p w:rsidR="00FE43BE" w:rsidRDefault="00FE43BE" w:rsidP="00FE43BE">
      <w:pPr>
        <w:widowControl w:val="0"/>
        <w:spacing w:after="0" w:line="360" w:lineRule="auto"/>
        <w:ind w:firstLine="480"/>
        <w:jc w:val="both"/>
        <w:rPr>
          <w:rFonts w:ascii="Arial" w:hAnsi="Arial" w:cs="Arial"/>
          <w:b/>
          <w:i/>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512"/>
        <w:gridCol w:w="485"/>
        <w:gridCol w:w="8020"/>
      </w:tblGrid>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50" w:line="360" w:lineRule="auto"/>
              <w:jc w:val="both"/>
              <w:rPr>
                <w:rFonts w:ascii="Arial" w:hAnsi="Arial" w:cs="Arial"/>
                <w:sz w:val="22"/>
              </w:rPr>
            </w:pPr>
            <w:r w:rsidRPr="00EF1ADD">
              <w:rPr>
                <w:rFonts w:ascii="Arial" w:hAnsi="Arial" w:cs="Arial"/>
                <w:sz w:val="22"/>
              </w:rPr>
              <w:t>1.</w:t>
            </w:r>
          </w:p>
        </w:tc>
        <w:tc>
          <w:tcPr>
            <w:tcW w:w="8505" w:type="dxa"/>
            <w:gridSpan w:val="2"/>
          </w:tcPr>
          <w:p w:rsidR="00510E7E" w:rsidRPr="00510E7E" w:rsidRDefault="00510E7E" w:rsidP="00510E7E">
            <w:pPr>
              <w:widowControl w:val="0"/>
              <w:jc w:val="both"/>
              <w:rPr>
                <w:rFonts w:ascii="Arial" w:hAnsi="Arial" w:cs="Arial"/>
                <w:sz w:val="22"/>
              </w:rPr>
            </w:pPr>
            <w:r w:rsidRPr="00510E7E">
              <w:rPr>
                <w:kern w:val="0"/>
                <w:sz w:val="22"/>
              </w:rPr>
              <w:object w:dxaOrig="6499" w:dyaOrig="2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64.5pt" o:ole="">
                  <v:imagedata r:id="rId10" o:title=""/>
                </v:shape>
                <o:OLEObject Type="Embed" ProgID="ChemDraw.Document.6.0" ShapeID="_x0000_i1025" DrawAspect="Content" ObjectID="_1548165091" r:id="rId11"/>
              </w:object>
            </w: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Lines="50" w:after="120" w:line="360" w:lineRule="auto"/>
              <w:ind w:leftChars="-11" w:left="-24"/>
              <w:jc w:val="both"/>
              <w:rPr>
                <w:rFonts w:ascii="Arial" w:hAnsi="Arial" w:cs="Arial"/>
                <w:sz w:val="22"/>
              </w:rPr>
            </w:pPr>
          </w:p>
        </w:tc>
        <w:tc>
          <w:tcPr>
            <w:tcW w:w="485" w:type="dxa"/>
          </w:tcPr>
          <w:p w:rsidR="00510E7E" w:rsidRPr="00EF1ADD" w:rsidRDefault="00510E7E" w:rsidP="00596AC7">
            <w:pPr>
              <w:widowControl w:val="0"/>
              <w:spacing w:line="360" w:lineRule="auto"/>
              <w:ind w:leftChars="-11" w:left="-24"/>
              <w:jc w:val="both"/>
              <w:rPr>
                <w:rFonts w:ascii="Arial" w:hAnsi="Arial" w:cs="Arial"/>
                <w:sz w:val="22"/>
              </w:rPr>
            </w:pPr>
          </w:p>
        </w:tc>
        <w:tc>
          <w:tcPr>
            <w:tcW w:w="8020" w:type="dxa"/>
          </w:tcPr>
          <w:p w:rsidR="00510E7E" w:rsidRPr="00EF1ADD" w:rsidRDefault="00510E7E" w:rsidP="00596AC7">
            <w:pPr>
              <w:widowControl w:val="0"/>
              <w:spacing w:line="360" w:lineRule="auto"/>
              <w:ind w:leftChars="-11" w:left="-24"/>
              <w:jc w:val="both"/>
              <w:rPr>
                <w:rFonts w:ascii="Arial" w:hAnsi="Arial" w:cs="Arial"/>
                <w:sz w:val="22"/>
              </w:rPr>
            </w:pP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50" w:line="360" w:lineRule="auto"/>
              <w:jc w:val="both"/>
              <w:rPr>
                <w:rFonts w:ascii="Arial" w:hAnsi="Arial" w:cs="Arial"/>
                <w:sz w:val="22"/>
              </w:rPr>
            </w:pPr>
            <w:r w:rsidRPr="00EF1ADD">
              <w:rPr>
                <w:rFonts w:ascii="Arial" w:hAnsi="Arial" w:cs="Arial"/>
                <w:sz w:val="22"/>
              </w:rPr>
              <w:t>2.</w:t>
            </w:r>
          </w:p>
        </w:tc>
        <w:tc>
          <w:tcPr>
            <w:tcW w:w="8505" w:type="dxa"/>
            <w:gridSpan w:val="2"/>
          </w:tcPr>
          <w:p w:rsidR="00510E7E" w:rsidRPr="00510E7E" w:rsidRDefault="00510E7E" w:rsidP="00510E7E">
            <w:pPr>
              <w:widowControl w:val="0"/>
              <w:spacing w:line="360" w:lineRule="auto"/>
              <w:rPr>
                <w:rFonts w:ascii="Arial" w:hAnsi="Arial" w:cs="Arial"/>
                <w:sz w:val="22"/>
              </w:rPr>
            </w:pPr>
            <w:r w:rsidRPr="00510E7E">
              <w:rPr>
                <w:rFonts w:ascii="Arial" w:hAnsi="Arial" w:cs="Arial"/>
                <w:color w:val="000000" w:themeColor="text1"/>
                <w:sz w:val="22"/>
                <w:lang w:eastAsia="zh-HK"/>
              </w:rPr>
              <w:t xml:space="preserve">The concentration of Sunset Yellow FCF in the given </w:t>
            </w:r>
            <w:r w:rsidRPr="00510E7E">
              <w:rPr>
                <w:rFonts w:ascii="Arial" w:hAnsi="Arial" w:cs="Arial" w:hint="eastAsia"/>
                <w:color w:val="000000" w:themeColor="text1"/>
                <w:sz w:val="22"/>
                <w:lang w:eastAsia="zh-HK"/>
              </w:rPr>
              <w:t xml:space="preserve">soft </w:t>
            </w:r>
            <w:r w:rsidRPr="00510E7E">
              <w:rPr>
                <w:rFonts w:ascii="Arial" w:hAnsi="Arial" w:cs="Arial"/>
                <w:color w:val="000000" w:themeColor="text1"/>
                <w:sz w:val="22"/>
                <w:lang w:eastAsia="zh-HK"/>
              </w:rPr>
              <w:t xml:space="preserve">drink sample </w:t>
            </w:r>
            <w:r w:rsidRPr="00510E7E">
              <w:rPr>
                <w:rFonts w:ascii="Arial" w:hAnsi="Arial" w:cs="Arial"/>
                <w:color w:val="000000" w:themeColor="text1"/>
                <w:sz w:val="22"/>
                <w:lang w:eastAsia="zh-HK"/>
              </w:rPr>
              <w:br/>
            </w:r>
            <w:r w:rsidRPr="00510E7E">
              <w:rPr>
                <w:rFonts w:ascii="Arial" w:hAnsi="Arial" w:cs="Arial"/>
                <w:sz w:val="22"/>
                <w:lang w:eastAsia="zh-HK"/>
              </w:rPr>
              <w:t xml:space="preserve">= </w:t>
            </w:r>
            <w:r w:rsidRPr="00510E7E">
              <w:rPr>
                <w:rFonts w:ascii="Arial" w:hAnsi="Arial" w:cs="Arial" w:hint="eastAsia"/>
                <w:sz w:val="22"/>
                <w:lang w:eastAsia="zh-HK"/>
              </w:rPr>
              <w:t>72</w:t>
            </w:r>
            <w:r w:rsidRPr="00510E7E">
              <w:rPr>
                <w:rFonts w:ascii="Arial" w:hAnsi="Arial" w:cs="Arial"/>
                <w:sz w:val="22"/>
                <w:lang w:eastAsia="zh-HK"/>
              </w:rPr>
              <w:t xml:space="preserve"> ppm = </w:t>
            </w:r>
            <w:r w:rsidRPr="00510E7E">
              <w:rPr>
                <w:rFonts w:ascii="Arial" w:hAnsi="Arial" w:cs="Arial" w:hint="eastAsia"/>
                <w:sz w:val="22"/>
                <w:lang w:eastAsia="zh-HK"/>
              </w:rPr>
              <w:t>72</w:t>
            </w:r>
            <w:r w:rsidRPr="00510E7E">
              <w:rPr>
                <w:rFonts w:ascii="Arial" w:hAnsi="Arial" w:cs="Arial"/>
                <w:sz w:val="22"/>
                <w:lang w:eastAsia="zh-HK"/>
              </w:rPr>
              <w:t xml:space="preserve"> </w:t>
            </w:r>
            <w:r w:rsidRPr="00510E7E">
              <w:rPr>
                <w:sz w:val="22"/>
                <w:lang w:eastAsia="zh-HK"/>
              </w:rPr>
              <w:sym w:font="Symbol" w:char="F0B4"/>
            </w:r>
            <w:r w:rsidRPr="00510E7E">
              <w:rPr>
                <w:rFonts w:ascii="Arial" w:hAnsi="Arial" w:cs="Arial"/>
                <w:sz w:val="22"/>
                <w:lang w:eastAsia="zh-HK"/>
              </w:rPr>
              <w:t xml:space="preserve"> 10</w:t>
            </w:r>
            <w:r w:rsidRPr="00510E7E">
              <w:rPr>
                <w:rFonts w:ascii="Arial" w:hAnsi="Arial" w:cs="Arial"/>
                <w:sz w:val="22"/>
                <w:vertAlign w:val="superscript"/>
              </w:rPr>
              <w:t>–</w:t>
            </w:r>
            <w:r w:rsidRPr="00510E7E">
              <w:rPr>
                <w:rFonts w:ascii="Arial" w:hAnsi="Arial" w:cs="Arial" w:hint="eastAsia"/>
                <w:sz w:val="22"/>
                <w:vertAlign w:val="superscript"/>
              </w:rPr>
              <w:t>3</w:t>
            </w:r>
            <w:r w:rsidRPr="00510E7E">
              <w:rPr>
                <w:rFonts w:ascii="Arial" w:hAnsi="Arial" w:cs="Arial"/>
                <w:sz w:val="22"/>
                <w:lang w:eastAsia="zh-HK"/>
              </w:rPr>
              <w:t xml:space="preserve"> g </w:t>
            </w:r>
            <w:proofErr w:type="spellStart"/>
            <w:r w:rsidRPr="00510E7E">
              <w:rPr>
                <w:rFonts w:ascii="Arial" w:hAnsi="Arial" w:cs="Arial" w:hint="eastAsia"/>
                <w:sz w:val="22"/>
                <w:lang w:eastAsia="zh-HK"/>
              </w:rPr>
              <w:t>dm</w:t>
            </w:r>
            <w:proofErr w:type="spellEnd"/>
            <w:r w:rsidRPr="00510E7E">
              <w:rPr>
                <w:rFonts w:ascii="Arial" w:hAnsi="Arial" w:cs="Arial"/>
                <w:sz w:val="22"/>
                <w:vertAlign w:val="superscript"/>
              </w:rPr>
              <w:t>–</w:t>
            </w:r>
            <w:r w:rsidRPr="00510E7E">
              <w:rPr>
                <w:rFonts w:ascii="Arial" w:hAnsi="Arial" w:cs="Arial" w:hint="eastAsia"/>
                <w:sz w:val="22"/>
                <w:vertAlign w:val="superscript"/>
              </w:rPr>
              <w:t>3</w:t>
            </w:r>
          </w:p>
          <w:p w:rsidR="00510E7E" w:rsidRPr="00510E7E" w:rsidRDefault="00510E7E" w:rsidP="00510E7E">
            <w:pPr>
              <w:pStyle w:val="ListParagraph"/>
              <w:rPr>
                <w:rFonts w:ascii="Arial" w:hAnsi="Arial" w:cs="Arial"/>
                <w:color w:val="000000" w:themeColor="text1"/>
                <w:sz w:val="22"/>
              </w:rPr>
            </w:pPr>
          </w:p>
          <w:p w:rsidR="00510E7E" w:rsidRPr="00510E7E" w:rsidRDefault="00510E7E" w:rsidP="00510E7E">
            <w:pPr>
              <w:widowControl w:val="0"/>
              <w:spacing w:line="360" w:lineRule="auto"/>
              <w:jc w:val="both"/>
              <w:rPr>
                <w:rFonts w:ascii="Arial" w:hAnsi="Arial" w:cs="Arial"/>
                <w:color w:val="000000" w:themeColor="text1"/>
                <w:sz w:val="22"/>
                <w:vertAlign w:val="superscript"/>
              </w:rPr>
            </w:pPr>
            <w:r w:rsidRPr="00510E7E">
              <w:rPr>
                <w:rFonts w:ascii="Arial" w:hAnsi="Arial" w:cs="Arial"/>
                <w:color w:val="000000" w:themeColor="text1"/>
                <w:sz w:val="22"/>
              </w:rPr>
              <w:t>Mol</w:t>
            </w:r>
            <w:r w:rsidRPr="00510E7E">
              <w:rPr>
                <w:rFonts w:ascii="Arial" w:hAnsi="Arial" w:cs="Arial" w:hint="eastAsia"/>
                <w:color w:val="000000" w:themeColor="text1"/>
                <w:sz w:val="22"/>
              </w:rPr>
              <w:t>ar</w:t>
            </w:r>
            <w:r w:rsidRPr="00510E7E">
              <w:rPr>
                <w:rFonts w:ascii="Arial" w:hAnsi="Arial" w:cs="Arial"/>
                <w:color w:val="000000" w:themeColor="text1"/>
                <w:sz w:val="22"/>
              </w:rPr>
              <w:t xml:space="preserve"> mass of </w:t>
            </w:r>
            <w:r w:rsidRPr="00510E7E">
              <w:rPr>
                <w:rFonts w:ascii="Arial" w:hAnsi="Arial" w:cs="Arial"/>
                <w:color w:val="000000" w:themeColor="text1"/>
                <w:sz w:val="22"/>
                <w:lang w:eastAsia="zh-HK"/>
              </w:rPr>
              <w:t xml:space="preserve">Sunset Yellow FCF </w:t>
            </w:r>
            <w:r w:rsidRPr="00510E7E">
              <w:rPr>
                <w:rFonts w:ascii="Arial" w:hAnsi="Arial" w:cs="Arial" w:hint="eastAsia"/>
                <w:color w:val="000000" w:themeColor="text1"/>
                <w:sz w:val="22"/>
                <w:lang w:eastAsia="zh-HK"/>
              </w:rPr>
              <w:tab/>
            </w:r>
            <w:r w:rsidRPr="00510E7E">
              <w:rPr>
                <w:rFonts w:ascii="Arial" w:hAnsi="Arial" w:cs="Arial"/>
                <w:color w:val="000000" w:themeColor="text1"/>
                <w:sz w:val="22"/>
                <w:lang w:eastAsia="zh-HK"/>
              </w:rPr>
              <w:t xml:space="preserve">= </w:t>
            </w:r>
            <w:r w:rsidRPr="00510E7E">
              <w:rPr>
                <w:rFonts w:ascii="Arial" w:hAnsi="Arial" w:cs="Arial"/>
                <w:color w:val="000000" w:themeColor="text1"/>
                <w:sz w:val="22"/>
              </w:rPr>
              <w:t>452.36 g</w:t>
            </w:r>
          </w:p>
          <w:p w:rsidR="00510E7E" w:rsidRPr="00510E7E" w:rsidRDefault="00510E7E" w:rsidP="004F7F0D">
            <w:pPr>
              <w:widowControl w:val="0"/>
              <w:jc w:val="both"/>
              <w:rPr>
                <w:rFonts w:ascii="Arial" w:hAnsi="Arial" w:cs="Arial"/>
                <w:sz w:val="22"/>
              </w:rPr>
            </w:pPr>
            <w:r w:rsidRPr="00510E7E">
              <w:rPr>
                <w:rFonts w:ascii="Arial" w:hAnsi="Arial" w:cs="Arial"/>
                <w:sz w:val="22"/>
              </w:rPr>
              <w:t xml:space="preserve">Molarity = </w:t>
            </w:r>
            <w:r w:rsidRPr="00510E7E">
              <w:rPr>
                <w:rFonts w:ascii="Arial" w:hAnsi="Arial" w:cs="Arial" w:hint="eastAsia"/>
                <w:sz w:val="22"/>
                <w:lang w:eastAsia="zh-HK"/>
              </w:rPr>
              <w:t>72</w:t>
            </w:r>
            <w:r w:rsidRPr="00510E7E">
              <w:rPr>
                <w:rFonts w:ascii="Arial" w:hAnsi="Arial" w:cs="Arial"/>
                <w:sz w:val="22"/>
                <w:lang w:eastAsia="zh-HK"/>
              </w:rPr>
              <w:t xml:space="preserve"> </w:t>
            </w:r>
            <w:r w:rsidRPr="00510E7E">
              <w:rPr>
                <w:rFonts w:ascii="Arial" w:hAnsi="Arial" w:cs="Arial"/>
                <w:sz w:val="22"/>
                <w:lang w:eastAsia="zh-HK"/>
              </w:rPr>
              <w:sym w:font="Symbol" w:char="F0B4"/>
            </w:r>
            <w:r w:rsidRPr="00510E7E">
              <w:rPr>
                <w:rFonts w:ascii="Arial" w:hAnsi="Arial" w:cs="Arial"/>
                <w:sz w:val="22"/>
                <w:lang w:eastAsia="zh-HK"/>
              </w:rPr>
              <w:t xml:space="preserve"> 10</w:t>
            </w:r>
            <w:r w:rsidRPr="00510E7E">
              <w:rPr>
                <w:rFonts w:ascii="Arial" w:hAnsi="Arial" w:cs="Arial"/>
                <w:sz w:val="22"/>
                <w:vertAlign w:val="superscript"/>
              </w:rPr>
              <w:t>–</w:t>
            </w:r>
            <w:r w:rsidRPr="00510E7E">
              <w:rPr>
                <w:rFonts w:ascii="Arial" w:hAnsi="Arial" w:cs="Arial" w:hint="eastAsia"/>
                <w:sz w:val="22"/>
                <w:vertAlign w:val="superscript"/>
              </w:rPr>
              <w:t>3</w:t>
            </w:r>
            <w:r w:rsidRPr="00510E7E">
              <w:rPr>
                <w:rFonts w:ascii="Arial" w:hAnsi="Arial" w:cs="Arial"/>
                <w:sz w:val="22"/>
                <w:lang w:eastAsia="zh-HK"/>
              </w:rPr>
              <w:t xml:space="preserve">  / </w:t>
            </w:r>
            <w:r w:rsidRPr="00510E7E">
              <w:rPr>
                <w:rFonts w:ascii="Arial" w:hAnsi="Arial" w:cs="Arial"/>
                <w:sz w:val="22"/>
              </w:rPr>
              <w:t>452.36 </w:t>
            </w:r>
            <w:r w:rsidRPr="00510E7E">
              <w:rPr>
                <w:rFonts w:ascii="Arial" w:hAnsi="Arial" w:cs="Arial" w:hint="eastAsia"/>
                <w:sz w:val="22"/>
              </w:rPr>
              <w:tab/>
            </w:r>
            <w:r w:rsidRPr="00510E7E">
              <w:rPr>
                <w:rFonts w:ascii="Arial" w:hAnsi="Arial" w:cs="Arial"/>
                <w:sz w:val="22"/>
              </w:rPr>
              <w:t xml:space="preserve">= </w:t>
            </w:r>
            <w:r w:rsidRPr="00510E7E">
              <w:rPr>
                <w:rFonts w:ascii="Arial" w:hAnsi="Arial" w:cs="Arial" w:hint="eastAsia"/>
                <w:sz w:val="22"/>
              </w:rPr>
              <w:t xml:space="preserve">159 </w:t>
            </w:r>
            <w:r w:rsidRPr="00510E7E">
              <w:rPr>
                <w:rFonts w:ascii="Arial" w:hAnsi="Arial" w:cs="Arial"/>
                <w:b/>
                <w:sz w:val="22"/>
                <w:lang w:eastAsia="zh-HK"/>
              </w:rPr>
              <w:sym w:font="Symbol" w:char="F0B4"/>
            </w:r>
            <w:r w:rsidRPr="00510E7E">
              <w:rPr>
                <w:rFonts w:ascii="Arial" w:hAnsi="Arial" w:cs="Arial"/>
                <w:sz w:val="22"/>
                <w:lang w:eastAsia="zh-HK"/>
              </w:rPr>
              <w:t xml:space="preserve"> 10</w:t>
            </w:r>
            <w:r w:rsidRPr="00510E7E">
              <w:rPr>
                <w:rFonts w:ascii="Arial" w:hAnsi="Arial" w:cs="Arial"/>
                <w:sz w:val="22"/>
                <w:vertAlign w:val="superscript"/>
              </w:rPr>
              <w:t>–</w:t>
            </w:r>
            <w:r w:rsidRPr="00510E7E">
              <w:rPr>
                <w:rFonts w:ascii="Arial" w:hAnsi="Arial" w:cs="Arial" w:hint="eastAsia"/>
                <w:sz w:val="22"/>
                <w:vertAlign w:val="superscript"/>
              </w:rPr>
              <w:t>6</w:t>
            </w:r>
            <w:r w:rsidRPr="00510E7E">
              <w:rPr>
                <w:rFonts w:ascii="Arial" w:hAnsi="Arial" w:cs="Arial"/>
                <w:sz w:val="22"/>
              </w:rPr>
              <w:t xml:space="preserve"> mol </w:t>
            </w:r>
            <w:proofErr w:type="spellStart"/>
            <w:r w:rsidRPr="00510E7E">
              <w:rPr>
                <w:rFonts w:ascii="Arial" w:hAnsi="Arial" w:cs="Arial" w:hint="eastAsia"/>
                <w:sz w:val="22"/>
              </w:rPr>
              <w:t>dm</w:t>
            </w:r>
            <w:proofErr w:type="spellEnd"/>
            <w:r w:rsidRPr="00510E7E">
              <w:rPr>
                <w:rFonts w:ascii="Arial" w:hAnsi="Arial" w:cs="Arial"/>
                <w:sz w:val="22"/>
                <w:vertAlign w:val="superscript"/>
              </w:rPr>
              <w:t>–</w:t>
            </w:r>
            <w:r w:rsidRPr="00510E7E">
              <w:rPr>
                <w:rFonts w:ascii="Arial" w:hAnsi="Arial" w:cs="Arial" w:hint="eastAsia"/>
                <w:sz w:val="22"/>
                <w:vertAlign w:val="superscript"/>
              </w:rPr>
              <w:t>3</w:t>
            </w: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Lines="50" w:after="120" w:line="360" w:lineRule="auto"/>
              <w:ind w:leftChars="-11" w:left="-24"/>
              <w:jc w:val="both"/>
              <w:rPr>
                <w:rFonts w:ascii="Arial" w:hAnsi="Arial" w:cs="Arial"/>
                <w:sz w:val="22"/>
              </w:rPr>
            </w:pPr>
          </w:p>
        </w:tc>
        <w:tc>
          <w:tcPr>
            <w:tcW w:w="485" w:type="dxa"/>
          </w:tcPr>
          <w:p w:rsidR="00510E7E" w:rsidRPr="00EF1ADD" w:rsidRDefault="00510E7E" w:rsidP="00596AC7">
            <w:pPr>
              <w:widowControl w:val="0"/>
              <w:spacing w:line="360" w:lineRule="auto"/>
              <w:ind w:leftChars="-11" w:left="-24"/>
              <w:jc w:val="both"/>
              <w:rPr>
                <w:rFonts w:ascii="Arial" w:hAnsi="Arial" w:cs="Arial"/>
                <w:sz w:val="22"/>
              </w:rPr>
            </w:pPr>
          </w:p>
        </w:tc>
        <w:tc>
          <w:tcPr>
            <w:tcW w:w="8020" w:type="dxa"/>
          </w:tcPr>
          <w:p w:rsidR="00510E7E" w:rsidRPr="00EF1ADD" w:rsidRDefault="00510E7E" w:rsidP="00596AC7">
            <w:pPr>
              <w:widowControl w:val="0"/>
              <w:spacing w:line="360" w:lineRule="auto"/>
              <w:ind w:leftChars="-11" w:left="-24"/>
              <w:jc w:val="both"/>
              <w:rPr>
                <w:rFonts w:ascii="Arial" w:hAnsi="Arial" w:cs="Arial"/>
                <w:sz w:val="22"/>
              </w:rPr>
            </w:pP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50" w:line="360" w:lineRule="auto"/>
              <w:jc w:val="both"/>
              <w:rPr>
                <w:rFonts w:ascii="Arial" w:hAnsi="Arial" w:cs="Arial"/>
                <w:sz w:val="22"/>
              </w:rPr>
            </w:pPr>
            <w:r w:rsidRPr="00EF1ADD">
              <w:rPr>
                <w:rFonts w:ascii="Arial" w:hAnsi="Arial" w:cs="Arial"/>
                <w:sz w:val="22"/>
              </w:rPr>
              <w:t>3.</w:t>
            </w:r>
          </w:p>
        </w:tc>
        <w:tc>
          <w:tcPr>
            <w:tcW w:w="8505" w:type="dxa"/>
            <w:gridSpan w:val="2"/>
          </w:tcPr>
          <w:p w:rsidR="00510E7E" w:rsidRPr="00EF1ADD" w:rsidRDefault="00510E7E" w:rsidP="00510E7E">
            <w:pPr>
              <w:widowControl w:val="0"/>
              <w:spacing w:line="360" w:lineRule="auto"/>
              <w:ind w:leftChars="-11" w:left="-24"/>
              <w:jc w:val="both"/>
              <w:rPr>
                <w:rFonts w:ascii="Arial" w:hAnsi="Arial" w:cs="Arial"/>
                <w:sz w:val="22"/>
              </w:rPr>
            </w:pPr>
            <w:r w:rsidRPr="00510E7E">
              <w:rPr>
                <w:rFonts w:ascii="Arial" w:hAnsi="Arial" w:cs="Arial"/>
                <w:color w:val="000000" w:themeColor="text1"/>
                <w:sz w:val="22"/>
                <w:lang w:eastAsia="zh-HK"/>
              </w:rPr>
              <w:t>Sunset Yellow FCF</w:t>
            </w:r>
            <w:r w:rsidRPr="00510E7E">
              <w:rPr>
                <w:rFonts w:ascii="Arial" w:hAnsi="Arial" w:cs="Arial"/>
                <w:color w:val="000000" w:themeColor="text1"/>
                <w:sz w:val="22"/>
              </w:rPr>
              <w:t xml:space="preserve"> solution is yellow in colour and hence it does not absorb yellow light.  So, if </w:t>
            </w:r>
            <w:r w:rsidRPr="00510E7E">
              <w:rPr>
                <w:rFonts w:ascii="Arial" w:hAnsi="Arial" w:cs="Arial"/>
                <w:color w:val="000000" w:themeColor="text1"/>
                <w:sz w:val="22"/>
                <w:lang w:eastAsia="zh-HK"/>
              </w:rPr>
              <w:t xml:space="preserve">yellow LED is used as the </w:t>
            </w:r>
            <w:r w:rsidRPr="00510E7E">
              <w:rPr>
                <w:rFonts w:ascii="Arial" w:hAnsi="Arial" w:cs="Arial"/>
                <w:color w:val="000000" w:themeColor="text1"/>
                <w:sz w:val="22"/>
              </w:rPr>
              <w:t>light source, there is little absorption of the light and all the values of V</w:t>
            </w:r>
            <w:r w:rsidRPr="00510E7E">
              <w:rPr>
                <w:rFonts w:ascii="Arial" w:hAnsi="Arial" w:cs="Arial"/>
                <w:color w:val="000000" w:themeColor="text1"/>
                <w:sz w:val="22"/>
                <w:vertAlign w:val="subscript"/>
              </w:rPr>
              <w:t>s</w:t>
            </w:r>
            <w:r w:rsidRPr="00510E7E">
              <w:rPr>
                <w:rFonts w:ascii="Arial" w:hAnsi="Arial" w:cs="Arial"/>
                <w:color w:val="000000" w:themeColor="text1"/>
                <w:sz w:val="22"/>
              </w:rPr>
              <w:t xml:space="preserve"> will be about the same as V</w:t>
            </w:r>
            <w:r w:rsidRPr="00510E7E">
              <w:rPr>
                <w:rFonts w:ascii="Arial" w:hAnsi="Arial" w:cs="Arial"/>
                <w:color w:val="000000" w:themeColor="text1"/>
                <w:sz w:val="22"/>
                <w:vertAlign w:val="subscript"/>
              </w:rPr>
              <w:t>0</w:t>
            </w:r>
            <w:r w:rsidRPr="00510E7E">
              <w:rPr>
                <w:rFonts w:ascii="Arial" w:hAnsi="Arial" w:cs="Arial"/>
                <w:color w:val="000000" w:themeColor="text1"/>
                <w:sz w:val="22"/>
              </w:rPr>
              <w:t>, resulting in zero values for A.</w:t>
            </w: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Lines="50" w:after="120" w:line="360" w:lineRule="auto"/>
              <w:ind w:leftChars="-11" w:left="-24"/>
              <w:jc w:val="both"/>
              <w:rPr>
                <w:rFonts w:ascii="Arial" w:hAnsi="Arial" w:cs="Arial"/>
                <w:sz w:val="22"/>
              </w:rPr>
            </w:pPr>
          </w:p>
        </w:tc>
        <w:tc>
          <w:tcPr>
            <w:tcW w:w="485" w:type="dxa"/>
          </w:tcPr>
          <w:p w:rsidR="00510E7E" w:rsidRPr="00EF1ADD" w:rsidRDefault="00510E7E" w:rsidP="00596AC7">
            <w:pPr>
              <w:widowControl w:val="0"/>
              <w:spacing w:line="360" w:lineRule="auto"/>
              <w:ind w:leftChars="-11" w:left="-24"/>
              <w:jc w:val="both"/>
              <w:rPr>
                <w:rFonts w:ascii="Arial" w:hAnsi="Arial" w:cs="Arial"/>
                <w:sz w:val="22"/>
              </w:rPr>
            </w:pPr>
          </w:p>
        </w:tc>
        <w:tc>
          <w:tcPr>
            <w:tcW w:w="8020" w:type="dxa"/>
          </w:tcPr>
          <w:p w:rsidR="00510E7E" w:rsidRPr="00EF1ADD" w:rsidRDefault="00510E7E" w:rsidP="00596AC7">
            <w:pPr>
              <w:widowControl w:val="0"/>
              <w:spacing w:line="360" w:lineRule="auto"/>
              <w:ind w:leftChars="-11" w:left="-24"/>
              <w:jc w:val="both"/>
              <w:rPr>
                <w:rFonts w:ascii="Arial" w:hAnsi="Arial" w:cs="Arial"/>
                <w:sz w:val="22"/>
              </w:rPr>
            </w:pP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50" w:line="360" w:lineRule="auto"/>
              <w:jc w:val="both"/>
              <w:rPr>
                <w:rFonts w:ascii="Arial" w:hAnsi="Arial" w:cs="Arial"/>
                <w:sz w:val="22"/>
              </w:rPr>
            </w:pPr>
            <w:r w:rsidRPr="00EF1ADD">
              <w:rPr>
                <w:rFonts w:ascii="Arial" w:hAnsi="Arial" w:cs="Arial"/>
                <w:sz w:val="22"/>
              </w:rPr>
              <w:t>4.</w:t>
            </w:r>
          </w:p>
        </w:tc>
        <w:tc>
          <w:tcPr>
            <w:tcW w:w="8505" w:type="dxa"/>
            <w:gridSpan w:val="2"/>
          </w:tcPr>
          <w:p w:rsidR="00510E7E" w:rsidRPr="00510E7E" w:rsidRDefault="00510E7E" w:rsidP="00510E7E">
            <w:pPr>
              <w:pStyle w:val="ListParagraph"/>
              <w:widowControl w:val="0"/>
              <w:numPr>
                <w:ilvl w:val="0"/>
                <w:numId w:val="22"/>
              </w:numPr>
              <w:spacing w:line="360" w:lineRule="auto"/>
              <w:jc w:val="both"/>
              <w:rPr>
                <w:rFonts w:ascii="Arial" w:hAnsi="Arial" w:cs="Arial"/>
                <w:sz w:val="22"/>
                <w:lang w:eastAsia="zh-HK"/>
              </w:rPr>
            </w:pPr>
            <w:r w:rsidRPr="00510E7E">
              <w:rPr>
                <w:rFonts w:ascii="Arial" w:hAnsi="Arial" w:cs="Arial"/>
                <w:sz w:val="22"/>
                <w:lang w:eastAsia="zh-HK"/>
              </w:rPr>
              <w:t>Do not move the battery and the LEDs in the colorimeter setup once their positions are secured.</w:t>
            </w:r>
            <w:r w:rsidRPr="00510E7E">
              <w:rPr>
                <w:sz w:val="22"/>
              </w:rPr>
              <w:t xml:space="preserve"> </w:t>
            </w:r>
          </w:p>
          <w:p w:rsidR="00510E7E" w:rsidRPr="00510E7E" w:rsidRDefault="00510E7E" w:rsidP="00510E7E">
            <w:pPr>
              <w:pStyle w:val="ListParagraph"/>
              <w:widowControl w:val="0"/>
              <w:numPr>
                <w:ilvl w:val="0"/>
                <w:numId w:val="22"/>
              </w:numPr>
              <w:spacing w:line="360" w:lineRule="auto"/>
              <w:jc w:val="both"/>
              <w:rPr>
                <w:rFonts w:ascii="Arial" w:hAnsi="Arial" w:cs="Arial"/>
                <w:sz w:val="22"/>
                <w:lang w:eastAsia="zh-HK"/>
              </w:rPr>
            </w:pPr>
            <w:r w:rsidRPr="00510E7E">
              <w:rPr>
                <w:rFonts w:ascii="Arial" w:hAnsi="Arial" w:cs="Arial"/>
                <w:sz w:val="22"/>
                <w:lang w:eastAsia="zh-HK"/>
              </w:rPr>
              <w:t xml:space="preserve">Great care should be taken when diluting the </w:t>
            </w:r>
            <w:r w:rsidRPr="00510E7E">
              <w:rPr>
                <w:rFonts w:ascii="Arial" w:hAnsi="Arial" w:cs="Arial" w:hint="eastAsia"/>
                <w:sz w:val="22"/>
                <w:lang w:eastAsia="zh-HK"/>
              </w:rPr>
              <w:t xml:space="preserve">standard </w:t>
            </w:r>
            <w:r w:rsidRPr="00510E7E">
              <w:rPr>
                <w:rFonts w:ascii="Arial" w:hAnsi="Arial" w:cs="Arial"/>
                <w:sz w:val="22"/>
                <w:lang w:eastAsia="zh-HK"/>
              </w:rPr>
              <w:t>solution</w:t>
            </w:r>
            <w:r w:rsidRPr="00510E7E">
              <w:rPr>
                <w:rFonts w:ascii="Arial" w:hAnsi="Arial" w:cs="Arial" w:hint="eastAsia"/>
                <w:sz w:val="22"/>
                <w:lang w:eastAsia="zh-HK"/>
              </w:rPr>
              <w:t>s</w:t>
            </w:r>
            <w:r w:rsidRPr="00510E7E">
              <w:rPr>
                <w:rFonts w:ascii="Arial" w:hAnsi="Arial" w:cs="Arial"/>
                <w:sz w:val="22"/>
                <w:lang w:eastAsia="zh-HK"/>
              </w:rPr>
              <w:t>.  Auto-pipette may be used to increase accuracy.</w:t>
            </w:r>
          </w:p>
          <w:p w:rsidR="00510E7E" w:rsidRPr="00510E7E" w:rsidRDefault="00510E7E" w:rsidP="00510E7E">
            <w:pPr>
              <w:pStyle w:val="ListParagraph"/>
              <w:widowControl w:val="0"/>
              <w:numPr>
                <w:ilvl w:val="0"/>
                <w:numId w:val="22"/>
              </w:numPr>
              <w:spacing w:line="360" w:lineRule="auto"/>
              <w:jc w:val="both"/>
              <w:rPr>
                <w:rFonts w:ascii="Arial" w:hAnsi="Arial" w:cs="Arial"/>
                <w:sz w:val="22"/>
                <w:lang w:eastAsia="zh-HK"/>
              </w:rPr>
            </w:pPr>
            <w:r w:rsidRPr="00510E7E">
              <w:rPr>
                <w:rFonts w:ascii="Arial" w:hAnsi="Arial" w:cs="Arial"/>
                <w:sz w:val="22"/>
                <w:lang w:eastAsia="zh-HK"/>
              </w:rPr>
              <w:t>If the same cuvette is used for all solutions, it should be rinsed before filling it with the next solution of different concentration.  The diluted solutions should be measured from low concentration to high concentration.</w:t>
            </w:r>
          </w:p>
          <w:p w:rsidR="00510E7E" w:rsidRDefault="00510E7E" w:rsidP="00510E7E">
            <w:pPr>
              <w:pStyle w:val="ListParagraph"/>
              <w:widowControl w:val="0"/>
              <w:numPr>
                <w:ilvl w:val="0"/>
                <w:numId w:val="22"/>
              </w:numPr>
              <w:spacing w:line="360" w:lineRule="auto"/>
              <w:jc w:val="both"/>
              <w:rPr>
                <w:rFonts w:ascii="Arial" w:hAnsi="Arial" w:cs="Arial"/>
                <w:sz w:val="22"/>
                <w:lang w:eastAsia="zh-HK"/>
              </w:rPr>
            </w:pPr>
            <w:r w:rsidRPr="00510E7E">
              <w:rPr>
                <w:rFonts w:ascii="Arial" w:hAnsi="Arial" w:cs="Arial"/>
                <w:sz w:val="22"/>
                <w:lang w:eastAsia="zh-HK"/>
              </w:rPr>
              <w:t>LEDs are non-</w:t>
            </w:r>
            <w:proofErr w:type="spellStart"/>
            <w:r w:rsidRPr="00510E7E">
              <w:rPr>
                <w:rFonts w:ascii="Arial" w:hAnsi="Arial" w:cs="Arial"/>
                <w:sz w:val="22"/>
                <w:lang w:eastAsia="zh-HK"/>
              </w:rPr>
              <w:t>ohmic</w:t>
            </w:r>
            <w:proofErr w:type="spellEnd"/>
            <w:r w:rsidRPr="00510E7E">
              <w:rPr>
                <w:rFonts w:ascii="Arial" w:hAnsi="Arial" w:cs="Arial"/>
                <w:sz w:val="22"/>
                <w:lang w:eastAsia="zh-HK"/>
              </w:rPr>
              <w:t xml:space="preserve"> resistors. This means that the voltage produced by the detector LED may not be directly proportional to the light intensity shining on the LED.  It may result in non-linearity of the calibration curve because the equation, A = </w:t>
            </w:r>
            <w:proofErr w:type="gramStart"/>
            <w:r w:rsidRPr="00510E7E">
              <w:rPr>
                <w:rFonts w:ascii="Arial" w:hAnsi="Arial" w:cs="Arial"/>
                <w:sz w:val="22"/>
                <w:lang w:eastAsia="zh-HK"/>
              </w:rPr>
              <w:t>log</w:t>
            </w:r>
            <w:r w:rsidRPr="00510E7E">
              <w:rPr>
                <w:rFonts w:ascii="Arial" w:hAnsi="Arial" w:cs="Arial"/>
                <w:sz w:val="22"/>
                <w:vertAlign w:val="subscript"/>
                <w:lang w:eastAsia="zh-HK"/>
              </w:rPr>
              <w:t>10</w:t>
            </w:r>
            <w:r w:rsidRPr="00510E7E">
              <w:rPr>
                <w:rFonts w:ascii="Arial" w:hAnsi="Arial" w:cs="Arial"/>
                <w:sz w:val="22"/>
                <w:lang w:eastAsia="zh-HK"/>
              </w:rPr>
              <w:t>(</w:t>
            </w:r>
            <w:proofErr w:type="gramEnd"/>
            <w:r w:rsidRPr="00510E7E">
              <w:rPr>
                <w:rFonts w:ascii="Arial" w:hAnsi="Arial" w:cs="Arial"/>
                <w:sz w:val="22"/>
                <w:lang w:eastAsia="zh-HK"/>
              </w:rPr>
              <w:t>I</w:t>
            </w:r>
            <w:r w:rsidRPr="00510E7E">
              <w:rPr>
                <w:rFonts w:ascii="Arial" w:hAnsi="Arial" w:cs="Arial"/>
                <w:sz w:val="22"/>
                <w:vertAlign w:val="subscript"/>
                <w:lang w:eastAsia="zh-HK"/>
              </w:rPr>
              <w:t>0</w:t>
            </w:r>
            <w:r w:rsidRPr="00510E7E">
              <w:rPr>
                <w:rFonts w:ascii="Arial" w:hAnsi="Arial" w:cs="Arial" w:hint="eastAsia"/>
                <w:sz w:val="22"/>
                <w:vertAlign w:val="subscript"/>
                <w:lang w:eastAsia="zh-HK"/>
              </w:rPr>
              <w:t xml:space="preserve"> </w:t>
            </w:r>
            <w:r w:rsidRPr="00510E7E">
              <w:rPr>
                <w:rFonts w:ascii="Arial" w:hAnsi="Arial" w:cs="Arial"/>
                <w:sz w:val="22"/>
                <w:lang w:eastAsia="zh-HK"/>
              </w:rPr>
              <w:t>/</w:t>
            </w:r>
            <w:r w:rsidRPr="00510E7E">
              <w:rPr>
                <w:rFonts w:ascii="Arial" w:hAnsi="Arial" w:cs="Arial" w:hint="eastAsia"/>
                <w:sz w:val="22"/>
                <w:lang w:eastAsia="zh-HK"/>
              </w:rPr>
              <w:t xml:space="preserve"> </w:t>
            </w:r>
            <w:r w:rsidRPr="00510E7E">
              <w:rPr>
                <w:rFonts w:ascii="Arial" w:hAnsi="Arial" w:cs="Arial"/>
                <w:sz w:val="22"/>
                <w:lang w:eastAsia="zh-HK"/>
              </w:rPr>
              <w:t>I</w:t>
            </w:r>
            <w:r w:rsidRPr="00510E7E">
              <w:rPr>
                <w:rFonts w:ascii="Arial" w:hAnsi="Arial" w:cs="Arial"/>
                <w:sz w:val="22"/>
                <w:vertAlign w:val="subscript"/>
                <w:lang w:eastAsia="zh-HK"/>
              </w:rPr>
              <w:t>s</w:t>
            </w:r>
            <w:r w:rsidRPr="00510E7E">
              <w:rPr>
                <w:rFonts w:ascii="Arial" w:hAnsi="Arial" w:cs="Arial"/>
                <w:sz w:val="22"/>
                <w:lang w:eastAsia="zh-HK"/>
              </w:rPr>
              <w:t>) = log</w:t>
            </w:r>
            <w:r w:rsidRPr="00510E7E">
              <w:rPr>
                <w:rFonts w:ascii="Arial" w:hAnsi="Arial" w:cs="Arial"/>
                <w:sz w:val="22"/>
                <w:vertAlign w:val="subscript"/>
                <w:lang w:eastAsia="zh-HK"/>
              </w:rPr>
              <w:t>10</w:t>
            </w:r>
            <w:r w:rsidRPr="00510E7E">
              <w:rPr>
                <w:rFonts w:ascii="Arial" w:hAnsi="Arial" w:cs="Arial"/>
                <w:sz w:val="22"/>
                <w:lang w:eastAsia="zh-HK"/>
              </w:rPr>
              <w:t>(V</w:t>
            </w:r>
            <w:r w:rsidRPr="00510E7E">
              <w:rPr>
                <w:rFonts w:ascii="Arial" w:hAnsi="Arial" w:cs="Arial"/>
                <w:sz w:val="22"/>
                <w:vertAlign w:val="subscript"/>
                <w:lang w:eastAsia="zh-HK"/>
              </w:rPr>
              <w:t>0</w:t>
            </w:r>
            <w:r w:rsidRPr="00510E7E">
              <w:rPr>
                <w:rFonts w:ascii="Arial" w:hAnsi="Arial" w:cs="Arial" w:hint="eastAsia"/>
                <w:sz w:val="22"/>
                <w:vertAlign w:val="subscript"/>
                <w:lang w:eastAsia="zh-HK"/>
              </w:rPr>
              <w:t xml:space="preserve"> </w:t>
            </w:r>
            <w:r w:rsidRPr="00510E7E">
              <w:rPr>
                <w:rFonts w:ascii="Arial" w:hAnsi="Arial" w:cs="Arial"/>
                <w:sz w:val="22"/>
                <w:lang w:eastAsia="zh-HK"/>
              </w:rPr>
              <w:t>/</w:t>
            </w:r>
            <w:r w:rsidRPr="00510E7E">
              <w:rPr>
                <w:rFonts w:ascii="Arial" w:hAnsi="Arial" w:cs="Arial" w:hint="eastAsia"/>
                <w:sz w:val="22"/>
                <w:lang w:eastAsia="zh-HK"/>
              </w:rPr>
              <w:t xml:space="preserve"> </w:t>
            </w:r>
            <w:r w:rsidRPr="00510E7E">
              <w:rPr>
                <w:rFonts w:ascii="Arial" w:hAnsi="Arial" w:cs="Arial"/>
                <w:sz w:val="22"/>
                <w:lang w:eastAsia="zh-HK"/>
              </w:rPr>
              <w:t>V</w:t>
            </w:r>
            <w:r w:rsidRPr="00510E7E">
              <w:rPr>
                <w:rFonts w:ascii="Arial" w:hAnsi="Arial" w:cs="Arial"/>
                <w:sz w:val="22"/>
                <w:vertAlign w:val="subscript"/>
                <w:lang w:eastAsia="zh-HK"/>
              </w:rPr>
              <w:t>s</w:t>
            </w:r>
            <w:r w:rsidRPr="00510E7E">
              <w:rPr>
                <w:rFonts w:ascii="Arial" w:hAnsi="Arial" w:cs="Arial"/>
                <w:sz w:val="22"/>
                <w:lang w:eastAsia="zh-HK"/>
              </w:rPr>
              <w:t xml:space="preserve">), may no longer be valid.  A polynomial function may be used to fit the data to obtain a better calibration curve.  Curve fitting with non-linear function may be done with computer software such as </w:t>
            </w:r>
            <w:r w:rsidR="00B42790">
              <w:rPr>
                <w:rFonts w:ascii="Arial" w:hAnsi="Arial" w:cs="Arial"/>
                <w:sz w:val="22"/>
                <w:lang w:eastAsia="zh-HK"/>
              </w:rPr>
              <w:t xml:space="preserve">MS </w:t>
            </w:r>
            <w:r w:rsidRPr="00510E7E">
              <w:rPr>
                <w:rFonts w:ascii="Arial" w:hAnsi="Arial" w:cs="Arial"/>
                <w:sz w:val="22"/>
                <w:lang w:eastAsia="zh-HK"/>
              </w:rPr>
              <w:t>Excel</w:t>
            </w:r>
            <w:r w:rsidR="00B42790">
              <w:rPr>
                <w:rFonts w:ascii="Arial" w:hAnsi="Arial" w:cs="Arial"/>
                <w:sz w:val="22"/>
                <w:lang w:eastAsia="zh-HK"/>
              </w:rPr>
              <w:t>®</w:t>
            </w:r>
            <w:r w:rsidRPr="00510E7E">
              <w:rPr>
                <w:rFonts w:ascii="Arial" w:hAnsi="Arial" w:cs="Arial"/>
                <w:sz w:val="22"/>
                <w:lang w:eastAsia="zh-HK"/>
              </w:rPr>
              <w:t>.</w:t>
            </w:r>
          </w:p>
          <w:p w:rsidR="00510E7E" w:rsidRPr="00510E7E" w:rsidRDefault="00510E7E" w:rsidP="00510E7E">
            <w:pPr>
              <w:pStyle w:val="ListParagraph"/>
              <w:widowControl w:val="0"/>
              <w:numPr>
                <w:ilvl w:val="0"/>
                <w:numId w:val="22"/>
              </w:numPr>
              <w:spacing w:line="360" w:lineRule="auto"/>
              <w:jc w:val="both"/>
              <w:rPr>
                <w:rFonts w:ascii="Arial" w:hAnsi="Arial" w:cs="Arial"/>
                <w:sz w:val="20"/>
                <w:lang w:eastAsia="zh-HK"/>
              </w:rPr>
            </w:pPr>
            <w:r w:rsidRPr="00510E7E">
              <w:rPr>
                <w:rFonts w:ascii="Arial" w:hAnsi="Arial" w:cs="Arial"/>
                <w:sz w:val="22"/>
                <w:lang w:eastAsia="zh-HK"/>
              </w:rPr>
              <w:t>The use of a voltmeter with high impedance can make the voltage measurements more accurate.</w:t>
            </w: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50" w:line="360" w:lineRule="auto"/>
              <w:jc w:val="both"/>
              <w:rPr>
                <w:rFonts w:ascii="Arial" w:hAnsi="Arial" w:cs="Arial"/>
                <w:sz w:val="22"/>
              </w:rPr>
            </w:pPr>
            <w:r>
              <w:rPr>
                <w:rFonts w:ascii="Arial" w:hAnsi="Arial" w:cs="Arial" w:hint="eastAsia"/>
                <w:sz w:val="22"/>
              </w:rPr>
              <w:t>5</w:t>
            </w:r>
            <w:r w:rsidRPr="00EF1ADD">
              <w:rPr>
                <w:rFonts w:ascii="Arial" w:hAnsi="Arial" w:cs="Arial"/>
                <w:sz w:val="22"/>
              </w:rPr>
              <w:t>.</w:t>
            </w:r>
          </w:p>
        </w:tc>
        <w:tc>
          <w:tcPr>
            <w:tcW w:w="485" w:type="dxa"/>
          </w:tcPr>
          <w:p w:rsidR="00510E7E" w:rsidRPr="00EF1ADD" w:rsidRDefault="00510E7E" w:rsidP="00596AC7">
            <w:pPr>
              <w:widowControl w:val="0"/>
              <w:spacing w:line="360" w:lineRule="auto"/>
              <w:ind w:leftChars="-49" w:left="-108"/>
              <w:rPr>
                <w:rFonts w:ascii="Arial" w:hAnsi="Arial" w:cs="Arial"/>
                <w:sz w:val="22"/>
              </w:rPr>
            </w:pPr>
            <w:r w:rsidRPr="00EF1ADD">
              <w:rPr>
                <w:rFonts w:ascii="Arial" w:hAnsi="Arial" w:cs="Arial"/>
                <w:sz w:val="22"/>
              </w:rPr>
              <w:t>(a)</w:t>
            </w:r>
          </w:p>
        </w:tc>
        <w:tc>
          <w:tcPr>
            <w:tcW w:w="8020" w:type="dxa"/>
          </w:tcPr>
          <w:p w:rsidR="00510E7E" w:rsidRPr="00510E7E" w:rsidRDefault="00510E7E" w:rsidP="00510E7E">
            <w:pPr>
              <w:widowControl w:val="0"/>
              <w:spacing w:afterLines="50" w:after="120" w:line="360" w:lineRule="auto"/>
              <w:rPr>
                <w:rFonts w:ascii="Arial" w:hAnsi="Arial" w:cs="Arial"/>
                <w:sz w:val="22"/>
              </w:rPr>
            </w:pPr>
            <w:proofErr w:type="spellStart"/>
            <w:r w:rsidRPr="00510E7E">
              <w:rPr>
                <w:rFonts w:ascii="Arial" w:hAnsi="Arial" w:cs="Arial"/>
                <w:sz w:val="22"/>
                <w:szCs w:val="24"/>
              </w:rPr>
              <w:t>Mn</w:t>
            </w:r>
            <w:proofErr w:type="spellEnd"/>
            <w:r w:rsidRPr="00510E7E">
              <w:rPr>
                <w:rFonts w:ascii="Arial" w:hAnsi="Arial" w:cs="Arial"/>
                <w:sz w:val="22"/>
                <w:szCs w:val="24"/>
              </w:rPr>
              <w:t>(s) + 2H</w:t>
            </w:r>
            <w:r w:rsidRPr="00510E7E">
              <w:rPr>
                <w:rFonts w:ascii="Arial" w:hAnsi="Arial" w:cs="Arial"/>
                <w:sz w:val="22"/>
                <w:szCs w:val="24"/>
                <w:vertAlign w:val="superscript"/>
              </w:rPr>
              <w:t>+</w:t>
            </w:r>
            <w:r w:rsidRPr="00510E7E">
              <w:rPr>
                <w:rFonts w:ascii="Arial" w:hAnsi="Arial" w:cs="Arial"/>
                <w:sz w:val="22"/>
                <w:szCs w:val="24"/>
              </w:rPr>
              <w:t xml:space="preserve">(aq) </w:t>
            </w:r>
            <w:r w:rsidRPr="00510E7E">
              <w:rPr>
                <w:kern w:val="0"/>
                <w:sz w:val="22"/>
              </w:rPr>
              <w:object w:dxaOrig="1279" w:dyaOrig="166">
                <v:shape id="_x0000_i1026" type="#_x0000_t75" style="width:34.4pt;height:8.6pt" o:ole="">
                  <v:imagedata r:id="rId12" o:title=""/>
                </v:shape>
                <o:OLEObject Type="Embed" ProgID="ChemDraw.Document.6.0" ShapeID="_x0000_i1026" DrawAspect="Content" ObjectID="_1548165092" r:id="rId13"/>
              </w:object>
            </w:r>
            <w:r w:rsidRPr="00510E7E">
              <w:rPr>
                <w:rFonts w:hint="eastAsia"/>
                <w:sz w:val="22"/>
              </w:rPr>
              <w:t xml:space="preserve"> </w:t>
            </w:r>
            <w:r w:rsidRPr="00510E7E">
              <w:rPr>
                <w:rFonts w:ascii="Arial" w:hAnsi="Arial" w:cs="Arial"/>
                <w:sz w:val="22"/>
                <w:szCs w:val="24"/>
              </w:rPr>
              <w:t>Mn</w:t>
            </w:r>
            <w:r w:rsidRPr="00510E7E">
              <w:rPr>
                <w:rFonts w:ascii="Arial" w:hAnsi="Arial" w:cs="Arial"/>
                <w:sz w:val="22"/>
                <w:szCs w:val="24"/>
                <w:vertAlign w:val="superscript"/>
              </w:rPr>
              <w:t>2+</w:t>
            </w:r>
            <w:r w:rsidRPr="00510E7E">
              <w:rPr>
                <w:rFonts w:ascii="Arial" w:hAnsi="Arial" w:cs="Arial"/>
                <w:sz w:val="22"/>
                <w:szCs w:val="24"/>
              </w:rPr>
              <w:t>(aq) + H</w:t>
            </w:r>
            <w:r w:rsidRPr="00510E7E">
              <w:rPr>
                <w:rFonts w:ascii="Arial" w:hAnsi="Arial" w:cs="Arial"/>
                <w:sz w:val="22"/>
                <w:szCs w:val="24"/>
                <w:vertAlign w:val="subscript"/>
              </w:rPr>
              <w:t>2</w:t>
            </w:r>
            <w:r w:rsidRPr="00510E7E">
              <w:rPr>
                <w:rFonts w:ascii="Arial" w:hAnsi="Arial" w:cs="Arial"/>
                <w:sz w:val="22"/>
                <w:szCs w:val="24"/>
              </w:rPr>
              <w:t>(g)</w:t>
            </w: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50" w:line="360" w:lineRule="auto"/>
              <w:jc w:val="both"/>
              <w:rPr>
                <w:rFonts w:ascii="Arial" w:hAnsi="Arial" w:cs="Arial"/>
                <w:sz w:val="22"/>
              </w:rPr>
            </w:pPr>
          </w:p>
        </w:tc>
        <w:tc>
          <w:tcPr>
            <w:tcW w:w="485" w:type="dxa"/>
          </w:tcPr>
          <w:p w:rsidR="00510E7E" w:rsidRPr="00EF1ADD" w:rsidRDefault="00510E7E" w:rsidP="00596AC7">
            <w:pPr>
              <w:widowControl w:val="0"/>
              <w:spacing w:after="50" w:line="360" w:lineRule="auto"/>
              <w:ind w:leftChars="-49" w:left="-108"/>
              <w:rPr>
                <w:rFonts w:ascii="Arial" w:hAnsi="Arial" w:cs="Arial"/>
                <w:sz w:val="22"/>
              </w:rPr>
            </w:pPr>
            <w:r w:rsidRPr="00EF1ADD">
              <w:rPr>
                <w:rFonts w:ascii="Arial" w:hAnsi="Arial" w:cs="Arial"/>
                <w:sz w:val="22"/>
              </w:rPr>
              <w:t>(b)</w:t>
            </w:r>
          </w:p>
        </w:tc>
        <w:tc>
          <w:tcPr>
            <w:tcW w:w="8020" w:type="dxa"/>
          </w:tcPr>
          <w:p w:rsidR="00510E7E" w:rsidRPr="00EF1ADD" w:rsidRDefault="00510E7E" w:rsidP="00596AC7">
            <w:pPr>
              <w:widowControl w:val="0"/>
              <w:spacing w:line="360" w:lineRule="auto"/>
              <w:ind w:leftChars="-11" w:left="-24"/>
              <w:rPr>
                <w:rFonts w:ascii="Arial" w:hAnsi="Arial" w:cs="Arial"/>
                <w:sz w:val="22"/>
              </w:rPr>
            </w:pPr>
            <w:r w:rsidRPr="00510E7E">
              <w:rPr>
                <w:rFonts w:ascii="Arial" w:hAnsi="Arial" w:cs="Arial"/>
                <w:sz w:val="22"/>
              </w:rPr>
              <w:t>5IO</w:t>
            </w:r>
            <w:r w:rsidRPr="00510E7E">
              <w:rPr>
                <w:rFonts w:ascii="Arial" w:hAnsi="Arial" w:cs="Arial"/>
                <w:sz w:val="22"/>
                <w:vertAlign w:val="subscript"/>
              </w:rPr>
              <w:t>4</w:t>
            </w:r>
            <w:r w:rsidRPr="00510E7E">
              <w:rPr>
                <w:rFonts w:ascii="Arial" w:hAnsi="Arial" w:cs="Arial"/>
                <w:sz w:val="22"/>
                <w:vertAlign w:val="superscript"/>
              </w:rPr>
              <w:t>–</w:t>
            </w:r>
            <w:r w:rsidRPr="00510E7E">
              <w:rPr>
                <w:rFonts w:ascii="Arial" w:hAnsi="Arial" w:cs="Arial"/>
                <w:sz w:val="22"/>
              </w:rPr>
              <w:t>(aq) + 2Mn</w:t>
            </w:r>
            <w:r w:rsidRPr="00510E7E">
              <w:rPr>
                <w:rFonts w:ascii="Arial" w:hAnsi="Arial" w:cs="Arial"/>
                <w:sz w:val="22"/>
                <w:vertAlign w:val="superscript"/>
              </w:rPr>
              <w:t>2+</w:t>
            </w:r>
            <w:r w:rsidRPr="00510E7E">
              <w:rPr>
                <w:rFonts w:ascii="Arial" w:hAnsi="Arial" w:cs="Arial"/>
                <w:sz w:val="22"/>
              </w:rPr>
              <w:t>(aq) + 3H</w:t>
            </w:r>
            <w:r w:rsidRPr="00510E7E">
              <w:rPr>
                <w:rFonts w:ascii="Arial" w:hAnsi="Arial" w:cs="Arial"/>
                <w:sz w:val="22"/>
                <w:vertAlign w:val="subscript"/>
              </w:rPr>
              <w:t>2</w:t>
            </w:r>
            <w:r w:rsidRPr="00510E7E">
              <w:rPr>
                <w:rFonts w:ascii="Arial" w:hAnsi="Arial" w:cs="Arial"/>
                <w:sz w:val="22"/>
              </w:rPr>
              <w:t xml:space="preserve">O(l) </w:t>
            </w:r>
            <w:r w:rsidRPr="00510E7E">
              <w:rPr>
                <w:kern w:val="0"/>
                <w:sz w:val="22"/>
              </w:rPr>
              <w:object w:dxaOrig="1279" w:dyaOrig="166">
                <v:shape id="_x0000_i1027" type="#_x0000_t75" style="width:34.4pt;height:8.6pt" o:ole="">
                  <v:imagedata r:id="rId12" o:title=""/>
                </v:shape>
                <o:OLEObject Type="Embed" ProgID="ChemDraw.Document.6.0" ShapeID="_x0000_i1027" DrawAspect="Content" ObjectID="_1548165093" r:id="rId14"/>
              </w:object>
            </w:r>
            <w:r w:rsidRPr="00510E7E">
              <w:rPr>
                <w:rFonts w:ascii="Arial" w:eastAsia="PMingLiU" w:hAnsi="Arial" w:cs="Arial"/>
                <w:sz w:val="22"/>
              </w:rPr>
              <w:t xml:space="preserve"> </w:t>
            </w:r>
            <w:r w:rsidRPr="00510E7E">
              <w:rPr>
                <w:rFonts w:ascii="Arial" w:hAnsi="Arial" w:cs="Arial"/>
                <w:sz w:val="22"/>
              </w:rPr>
              <w:t>5IO</w:t>
            </w:r>
            <w:r w:rsidRPr="00510E7E">
              <w:rPr>
                <w:rFonts w:ascii="Arial" w:hAnsi="Arial" w:cs="Arial"/>
                <w:sz w:val="22"/>
                <w:vertAlign w:val="subscript"/>
              </w:rPr>
              <w:t>3</w:t>
            </w:r>
            <w:r w:rsidRPr="00510E7E">
              <w:rPr>
                <w:rFonts w:ascii="Arial" w:hAnsi="Arial" w:cs="Arial"/>
                <w:sz w:val="22"/>
                <w:vertAlign w:val="superscript"/>
              </w:rPr>
              <w:t>–</w:t>
            </w:r>
            <w:r w:rsidRPr="00510E7E">
              <w:rPr>
                <w:rFonts w:ascii="Arial" w:hAnsi="Arial" w:cs="Arial"/>
                <w:sz w:val="22"/>
              </w:rPr>
              <w:t>(aq) + 2MnO</w:t>
            </w:r>
            <w:r w:rsidRPr="00510E7E">
              <w:rPr>
                <w:rFonts w:ascii="Arial" w:hAnsi="Arial" w:cs="Arial"/>
                <w:sz w:val="22"/>
                <w:vertAlign w:val="subscript"/>
              </w:rPr>
              <w:t>4</w:t>
            </w:r>
            <w:r w:rsidRPr="00510E7E">
              <w:rPr>
                <w:rFonts w:ascii="Arial" w:hAnsi="Arial" w:cs="Arial"/>
                <w:sz w:val="22"/>
                <w:vertAlign w:val="superscript"/>
              </w:rPr>
              <w:t>–</w:t>
            </w:r>
            <w:r w:rsidRPr="00510E7E">
              <w:rPr>
                <w:rFonts w:ascii="Arial" w:hAnsi="Arial" w:cs="Arial"/>
                <w:sz w:val="22"/>
              </w:rPr>
              <w:t>(aq) + 6H</w:t>
            </w:r>
            <w:r w:rsidRPr="00510E7E">
              <w:rPr>
                <w:rFonts w:ascii="Arial" w:hAnsi="Arial" w:cs="Arial"/>
                <w:sz w:val="22"/>
                <w:vertAlign w:val="superscript"/>
              </w:rPr>
              <w:t>+</w:t>
            </w:r>
            <w:r w:rsidRPr="00510E7E">
              <w:rPr>
                <w:rFonts w:ascii="Arial" w:hAnsi="Arial" w:cs="Arial"/>
                <w:sz w:val="22"/>
              </w:rPr>
              <w:t>(aq)</w:t>
            </w: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50" w:line="360" w:lineRule="auto"/>
              <w:jc w:val="both"/>
              <w:rPr>
                <w:rFonts w:ascii="Arial" w:hAnsi="Arial" w:cs="Arial"/>
                <w:sz w:val="22"/>
              </w:rPr>
            </w:pPr>
          </w:p>
        </w:tc>
        <w:tc>
          <w:tcPr>
            <w:tcW w:w="485" w:type="dxa"/>
          </w:tcPr>
          <w:p w:rsidR="00510E7E" w:rsidRPr="00EF1ADD" w:rsidRDefault="00510E7E" w:rsidP="00510E7E">
            <w:pPr>
              <w:widowControl w:val="0"/>
              <w:spacing w:line="360" w:lineRule="auto"/>
              <w:ind w:leftChars="-49" w:left="-108"/>
              <w:rPr>
                <w:rFonts w:ascii="Arial" w:hAnsi="Arial" w:cs="Arial"/>
                <w:sz w:val="22"/>
              </w:rPr>
            </w:pPr>
            <w:r w:rsidRPr="00EF1ADD">
              <w:rPr>
                <w:rFonts w:ascii="Arial" w:hAnsi="Arial" w:cs="Arial"/>
                <w:sz w:val="22"/>
              </w:rPr>
              <w:t>(</w:t>
            </w:r>
            <w:r>
              <w:rPr>
                <w:rFonts w:ascii="Arial" w:hAnsi="Arial" w:cs="Arial" w:hint="eastAsia"/>
                <w:sz w:val="22"/>
              </w:rPr>
              <w:t>c</w:t>
            </w:r>
            <w:r w:rsidRPr="00EF1ADD">
              <w:rPr>
                <w:rFonts w:ascii="Arial" w:hAnsi="Arial" w:cs="Arial"/>
                <w:sz w:val="22"/>
              </w:rPr>
              <w:t>)</w:t>
            </w:r>
          </w:p>
        </w:tc>
        <w:tc>
          <w:tcPr>
            <w:tcW w:w="8020" w:type="dxa"/>
          </w:tcPr>
          <w:p w:rsidR="00510E7E" w:rsidRPr="00EF1ADD" w:rsidRDefault="00510E7E" w:rsidP="00596AC7">
            <w:pPr>
              <w:widowControl w:val="0"/>
              <w:spacing w:line="360" w:lineRule="auto"/>
              <w:ind w:leftChars="-11" w:left="-24"/>
              <w:jc w:val="both"/>
              <w:rPr>
                <w:rFonts w:ascii="Arial" w:hAnsi="Arial" w:cs="Arial"/>
                <w:sz w:val="22"/>
              </w:rPr>
            </w:pPr>
            <w:r w:rsidRPr="00510E7E">
              <w:rPr>
                <w:rFonts w:ascii="Arial" w:hAnsi="Arial" w:cs="Arial" w:hint="eastAsia"/>
                <w:sz w:val="22"/>
              </w:rPr>
              <w:t xml:space="preserve">The colour of </w:t>
            </w:r>
            <w:r w:rsidRPr="00510E7E">
              <w:rPr>
                <w:rFonts w:ascii="Arial" w:hAnsi="Arial" w:cs="Arial"/>
                <w:sz w:val="22"/>
              </w:rPr>
              <w:t>Mn</w:t>
            </w:r>
            <w:r w:rsidRPr="00510E7E">
              <w:rPr>
                <w:rFonts w:ascii="Arial" w:hAnsi="Arial" w:cs="Arial"/>
                <w:sz w:val="22"/>
                <w:vertAlign w:val="superscript"/>
              </w:rPr>
              <w:t>2+</w:t>
            </w:r>
            <w:r w:rsidRPr="00510E7E">
              <w:rPr>
                <w:rFonts w:ascii="Arial" w:hAnsi="Arial" w:cs="Arial"/>
                <w:sz w:val="22"/>
              </w:rPr>
              <w:t xml:space="preserve"> ions </w:t>
            </w:r>
            <w:r w:rsidRPr="00510E7E">
              <w:rPr>
                <w:rFonts w:ascii="Arial" w:hAnsi="Arial" w:cs="Arial" w:hint="eastAsia"/>
                <w:sz w:val="22"/>
              </w:rPr>
              <w:t xml:space="preserve">is </w:t>
            </w:r>
            <w:r w:rsidRPr="00510E7E">
              <w:rPr>
                <w:rFonts w:ascii="Arial" w:hAnsi="Arial" w:cs="Arial"/>
                <w:sz w:val="22"/>
              </w:rPr>
              <w:t>very pale</w:t>
            </w:r>
            <w:r w:rsidR="002E637E">
              <w:rPr>
                <w:rFonts w:ascii="Arial" w:hAnsi="Arial" w:cs="Arial"/>
                <w:sz w:val="22"/>
              </w:rPr>
              <w:t xml:space="preserve"> </w:t>
            </w:r>
            <w:r w:rsidR="002E637E" w:rsidRPr="008F5ECC">
              <w:rPr>
                <w:rFonts w:ascii="Arial" w:hAnsi="Arial" w:cs="Arial"/>
                <w:sz w:val="22"/>
              </w:rPr>
              <w:t>pink</w:t>
            </w:r>
            <w:r w:rsidRPr="008F5ECC">
              <w:rPr>
                <w:rFonts w:ascii="Arial" w:hAnsi="Arial" w:cs="Arial"/>
                <w:sz w:val="22"/>
              </w:rPr>
              <w:t xml:space="preserve"> </w:t>
            </w:r>
            <w:r w:rsidRPr="00510E7E">
              <w:rPr>
                <w:rFonts w:ascii="Arial" w:hAnsi="Arial" w:cs="Arial"/>
                <w:sz w:val="22"/>
              </w:rPr>
              <w:t xml:space="preserve">and light absorption </w:t>
            </w:r>
            <w:r w:rsidRPr="00510E7E">
              <w:rPr>
                <w:rFonts w:ascii="Arial" w:hAnsi="Arial" w:cs="Arial" w:hint="eastAsia"/>
                <w:sz w:val="22"/>
              </w:rPr>
              <w:t xml:space="preserve">will be </w:t>
            </w:r>
            <w:r w:rsidRPr="00510E7E">
              <w:rPr>
                <w:rFonts w:ascii="Arial" w:hAnsi="Arial" w:cs="Arial"/>
                <w:sz w:val="22"/>
              </w:rPr>
              <w:t>very weak</w:t>
            </w:r>
            <w:r w:rsidRPr="00510E7E">
              <w:rPr>
                <w:rFonts w:ascii="Arial" w:hAnsi="Arial" w:cs="Arial" w:hint="eastAsia"/>
                <w:sz w:val="22"/>
              </w:rPr>
              <w:t>.</w:t>
            </w:r>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sz w:val="22"/>
              </w:rPr>
            </w:pPr>
          </w:p>
        </w:tc>
        <w:tc>
          <w:tcPr>
            <w:tcW w:w="512" w:type="dxa"/>
          </w:tcPr>
          <w:p w:rsidR="00510E7E" w:rsidRPr="00EF1ADD" w:rsidRDefault="00510E7E" w:rsidP="00596AC7">
            <w:pPr>
              <w:widowControl w:val="0"/>
              <w:spacing w:after="50" w:line="360" w:lineRule="auto"/>
              <w:jc w:val="both"/>
              <w:rPr>
                <w:rFonts w:ascii="Arial" w:hAnsi="Arial" w:cs="Arial"/>
                <w:sz w:val="22"/>
              </w:rPr>
            </w:pPr>
          </w:p>
        </w:tc>
        <w:tc>
          <w:tcPr>
            <w:tcW w:w="485" w:type="dxa"/>
          </w:tcPr>
          <w:p w:rsidR="00510E7E" w:rsidRPr="00EF1ADD" w:rsidRDefault="00510E7E" w:rsidP="00596AC7">
            <w:pPr>
              <w:widowControl w:val="0"/>
              <w:spacing w:after="50" w:line="360" w:lineRule="auto"/>
              <w:ind w:leftChars="-49" w:left="-108"/>
              <w:rPr>
                <w:rFonts w:ascii="Arial" w:hAnsi="Arial" w:cs="Arial"/>
                <w:sz w:val="22"/>
              </w:rPr>
            </w:pPr>
            <w:r>
              <w:rPr>
                <w:rFonts w:ascii="Arial" w:hAnsi="Arial" w:cs="Arial" w:hint="eastAsia"/>
                <w:sz w:val="22"/>
              </w:rPr>
              <w:t>(d</w:t>
            </w:r>
            <w:r w:rsidRPr="00EF1ADD">
              <w:rPr>
                <w:rFonts w:ascii="Arial" w:hAnsi="Arial" w:cs="Arial"/>
                <w:sz w:val="22"/>
              </w:rPr>
              <w:t>)</w:t>
            </w:r>
          </w:p>
        </w:tc>
        <w:tc>
          <w:tcPr>
            <w:tcW w:w="8020" w:type="dxa"/>
          </w:tcPr>
          <w:p w:rsidR="00510E7E" w:rsidRPr="00510E7E" w:rsidRDefault="00510E7E" w:rsidP="00510E7E">
            <w:pPr>
              <w:widowControl w:val="0"/>
              <w:tabs>
                <w:tab w:val="left" w:pos="900"/>
              </w:tabs>
              <w:spacing w:line="360" w:lineRule="auto"/>
              <w:jc w:val="both"/>
              <w:rPr>
                <w:rFonts w:ascii="Arial" w:hAnsi="Arial" w:cs="Arial"/>
                <w:sz w:val="22"/>
              </w:rPr>
            </w:pPr>
            <w:r w:rsidRPr="00510E7E">
              <w:rPr>
                <w:rFonts w:ascii="Arial" w:hAnsi="Arial" w:cs="Arial"/>
                <w:sz w:val="22"/>
              </w:rPr>
              <w:t>From the peak wavelengths of lights emitted given in the table, we can infer that the colour of the light emitted from the LEDs #1 to #6 is red, orange, yellow, green, cyan and blue, respectively. Since MnO</w:t>
            </w:r>
            <w:r w:rsidRPr="00510E7E">
              <w:rPr>
                <w:rFonts w:ascii="Arial" w:hAnsi="Arial" w:cs="Arial"/>
                <w:sz w:val="22"/>
                <w:vertAlign w:val="subscript"/>
              </w:rPr>
              <w:t>4</w:t>
            </w:r>
            <w:r w:rsidRPr="00510E7E">
              <w:rPr>
                <w:rFonts w:ascii="Arial" w:hAnsi="Arial" w:cs="Arial"/>
                <w:sz w:val="22"/>
                <w:vertAlign w:val="superscript"/>
              </w:rPr>
              <w:t>–</w:t>
            </w:r>
            <w:r w:rsidRPr="00510E7E">
              <w:rPr>
                <w:rFonts w:ascii="Arial" w:hAnsi="Arial" w:cs="Arial"/>
                <w:sz w:val="22"/>
              </w:rPr>
              <w:t>(aq) is purple in colour, it absorbs light of green colour, which is the complementary colour of purple. Hence, LED #4 should be used.  Alternatively, from internet, the major absorption peaks of MnO</w:t>
            </w:r>
            <w:r w:rsidRPr="00510E7E">
              <w:rPr>
                <w:rFonts w:ascii="Arial" w:hAnsi="Arial" w:cs="Arial"/>
                <w:sz w:val="22"/>
                <w:vertAlign w:val="subscript"/>
              </w:rPr>
              <w:t>4</w:t>
            </w:r>
            <w:r w:rsidRPr="00510E7E">
              <w:rPr>
                <w:rFonts w:ascii="Arial" w:hAnsi="Arial" w:cs="Arial"/>
                <w:sz w:val="22"/>
                <w:vertAlign w:val="superscript"/>
              </w:rPr>
              <w:t>–</w:t>
            </w:r>
            <w:r w:rsidRPr="00510E7E">
              <w:rPr>
                <w:rFonts w:ascii="Arial" w:hAnsi="Arial" w:cs="Arial"/>
                <w:sz w:val="22"/>
              </w:rPr>
              <w:t>(aq) are located at 525 and 545 nm.  Hence, LED #4 should be used.  An example of the absorption spectrum of MnO</w:t>
            </w:r>
            <w:r w:rsidRPr="00510E7E">
              <w:rPr>
                <w:rFonts w:ascii="Arial" w:hAnsi="Arial" w:cs="Arial"/>
                <w:sz w:val="22"/>
                <w:vertAlign w:val="subscript"/>
              </w:rPr>
              <w:t>4</w:t>
            </w:r>
            <w:r w:rsidRPr="00510E7E">
              <w:rPr>
                <w:rFonts w:ascii="Arial" w:hAnsi="Arial" w:cs="Arial"/>
                <w:sz w:val="22"/>
                <w:vertAlign w:val="superscript"/>
              </w:rPr>
              <w:t>–</w:t>
            </w:r>
            <w:r w:rsidRPr="00510E7E">
              <w:rPr>
                <w:rFonts w:ascii="Arial" w:hAnsi="Arial" w:cs="Arial"/>
                <w:sz w:val="22"/>
              </w:rPr>
              <w:t>(aq) can be found at:</w:t>
            </w:r>
          </w:p>
          <w:p w:rsidR="00510E7E" w:rsidRPr="00EF1ADD" w:rsidRDefault="00D06990" w:rsidP="00510E7E">
            <w:pPr>
              <w:widowControl w:val="0"/>
              <w:spacing w:line="360" w:lineRule="auto"/>
              <w:ind w:leftChars="-11" w:left="-24"/>
              <w:rPr>
                <w:rFonts w:ascii="Arial" w:hAnsi="Arial" w:cs="Arial"/>
                <w:sz w:val="22"/>
              </w:rPr>
            </w:pPr>
            <w:hyperlink r:id="rId15" w:history="1">
              <w:r w:rsidR="00510E7E" w:rsidRPr="00F23961">
                <w:rPr>
                  <w:rStyle w:val="Hyperlink"/>
                  <w:rFonts w:ascii="Arial" w:hAnsi="Arial" w:cs="Arial"/>
                  <w:sz w:val="20"/>
                </w:rPr>
                <w:t>https://upload.wikimedia.org/wikipedia/commons/b/bf/Permanganate_spectrum.png</w:t>
              </w:r>
            </w:hyperlink>
          </w:p>
        </w:tc>
      </w:tr>
      <w:tr w:rsidR="00510E7E" w:rsidRPr="00C511C1" w:rsidTr="00596AC7">
        <w:tc>
          <w:tcPr>
            <w:tcW w:w="730" w:type="dxa"/>
          </w:tcPr>
          <w:p w:rsidR="00510E7E" w:rsidRPr="00EF1ADD" w:rsidRDefault="00510E7E" w:rsidP="00596AC7">
            <w:pPr>
              <w:widowControl w:val="0"/>
              <w:spacing w:line="360" w:lineRule="auto"/>
              <w:ind w:leftChars="-11" w:left="-24"/>
              <w:jc w:val="both"/>
              <w:rPr>
                <w:rFonts w:ascii="Arial" w:hAnsi="Arial" w:cs="Arial"/>
              </w:rPr>
            </w:pPr>
          </w:p>
        </w:tc>
        <w:tc>
          <w:tcPr>
            <w:tcW w:w="512" w:type="dxa"/>
          </w:tcPr>
          <w:p w:rsidR="00510E7E" w:rsidRPr="00EF1ADD" w:rsidRDefault="00510E7E" w:rsidP="00596AC7">
            <w:pPr>
              <w:widowControl w:val="0"/>
              <w:spacing w:after="50" w:line="360" w:lineRule="auto"/>
              <w:jc w:val="both"/>
              <w:rPr>
                <w:rFonts w:ascii="Arial" w:hAnsi="Arial" w:cs="Arial"/>
              </w:rPr>
            </w:pPr>
          </w:p>
        </w:tc>
        <w:tc>
          <w:tcPr>
            <w:tcW w:w="485" w:type="dxa"/>
          </w:tcPr>
          <w:p w:rsidR="00510E7E" w:rsidRDefault="00510E7E" w:rsidP="00596AC7">
            <w:pPr>
              <w:widowControl w:val="0"/>
              <w:spacing w:after="50" w:line="360" w:lineRule="auto"/>
              <w:ind w:leftChars="-49" w:left="-108"/>
              <w:rPr>
                <w:rFonts w:ascii="Arial" w:hAnsi="Arial" w:cs="Arial"/>
              </w:rPr>
            </w:pPr>
          </w:p>
        </w:tc>
        <w:tc>
          <w:tcPr>
            <w:tcW w:w="8020" w:type="dxa"/>
          </w:tcPr>
          <w:p w:rsidR="00510E7E" w:rsidRPr="00510E7E" w:rsidRDefault="00510E7E" w:rsidP="00510E7E">
            <w:pPr>
              <w:widowControl w:val="0"/>
              <w:tabs>
                <w:tab w:val="left" w:pos="900"/>
              </w:tabs>
              <w:spacing w:line="360" w:lineRule="auto"/>
              <w:jc w:val="both"/>
              <w:rPr>
                <w:rFonts w:ascii="Arial" w:hAnsi="Arial" w:cs="Arial"/>
              </w:rPr>
            </w:pPr>
          </w:p>
        </w:tc>
      </w:tr>
      <w:tr w:rsidR="00510E7E" w:rsidRPr="002E2AEF" w:rsidTr="00596AC7">
        <w:tc>
          <w:tcPr>
            <w:tcW w:w="730" w:type="dxa"/>
          </w:tcPr>
          <w:p w:rsidR="00510E7E" w:rsidRPr="002E2AEF" w:rsidRDefault="00510E7E" w:rsidP="00596AC7">
            <w:pPr>
              <w:widowControl w:val="0"/>
              <w:spacing w:line="360" w:lineRule="auto"/>
              <w:ind w:leftChars="-11" w:left="-24"/>
              <w:jc w:val="both"/>
              <w:rPr>
                <w:rFonts w:ascii="Arial" w:hAnsi="Arial" w:cs="Arial"/>
                <w:sz w:val="22"/>
              </w:rPr>
            </w:pPr>
          </w:p>
        </w:tc>
        <w:tc>
          <w:tcPr>
            <w:tcW w:w="512" w:type="dxa"/>
          </w:tcPr>
          <w:p w:rsidR="00510E7E" w:rsidRPr="002E2AEF" w:rsidRDefault="002E2AEF" w:rsidP="00596AC7">
            <w:pPr>
              <w:widowControl w:val="0"/>
              <w:spacing w:after="50" w:line="360" w:lineRule="auto"/>
              <w:jc w:val="both"/>
              <w:rPr>
                <w:rFonts w:ascii="Arial" w:hAnsi="Arial" w:cs="Arial"/>
                <w:sz w:val="22"/>
              </w:rPr>
            </w:pPr>
            <w:r w:rsidRPr="002E2AEF">
              <w:rPr>
                <w:rFonts w:ascii="Arial" w:hAnsi="Arial" w:cs="Arial" w:hint="eastAsia"/>
                <w:sz w:val="22"/>
              </w:rPr>
              <w:t>6.</w:t>
            </w:r>
          </w:p>
        </w:tc>
        <w:tc>
          <w:tcPr>
            <w:tcW w:w="485" w:type="dxa"/>
          </w:tcPr>
          <w:p w:rsidR="00510E7E" w:rsidRPr="002E2AEF" w:rsidRDefault="002E2AEF" w:rsidP="00596AC7">
            <w:pPr>
              <w:widowControl w:val="0"/>
              <w:spacing w:after="50" w:line="360" w:lineRule="auto"/>
              <w:ind w:leftChars="-49" w:left="-108"/>
              <w:rPr>
                <w:rFonts w:ascii="Arial" w:hAnsi="Arial" w:cs="Arial"/>
                <w:sz w:val="22"/>
              </w:rPr>
            </w:pPr>
            <w:r w:rsidRPr="002E2AEF">
              <w:rPr>
                <w:rFonts w:ascii="Arial" w:hAnsi="Arial" w:cs="Arial" w:hint="eastAsia"/>
                <w:sz w:val="22"/>
              </w:rPr>
              <w:t>(a)</w:t>
            </w:r>
          </w:p>
        </w:tc>
        <w:tc>
          <w:tcPr>
            <w:tcW w:w="8020" w:type="dxa"/>
          </w:tcPr>
          <w:p w:rsidR="00510E7E" w:rsidRPr="002E2AEF" w:rsidRDefault="002E2AEF" w:rsidP="002E2AEF">
            <w:pPr>
              <w:widowControl w:val="0"/>
              <w:tabs>
                <w:tab w:val="left" w:pos="900"/>
              </w:tabs>
              <w:spacing w:line="360" w:lineRule="auto"/>
              <w:rPr>
                <w:rFonts w:ascii="Arial" w:hAnsi="Arial" w:cs="Arial"/>
                <w:sz w:val="22"/>
              </w:rPr>
            </w:pPr>
            <w:r w:rsidRPr="002E2AEF">
              <w:rPr>
                <w:rFonts w:ascii="Arial" w:hAnsi="Arial" w:cs="Arial"/>
                <w:sz w:val="22"/>
              </w:rPr>
              <w:t xml:space="preserve">Tungsten lamp.  It emits light of the whole visible spectrum whereas LEDs only emit light of a narrow band of visible spectrum.  </w:t>
            </w:r>
            <w:r w:rsidRPr="002E2AEF">
              <w:rPr>
                <w:rFonts w:ascii="Arial" w:hAnsi="Arial" w:cs="Arial" w:hint="eastAsia"/>
                <w:sz w:val="22"/>
              </w:rPr>
              <w:br/>
            </w:r>
            <w:r w:rsidRPr="002E2AEF">
              <w:rPr>
                <w:rFonts w:ascii="Arial" w:hAnsi="Arial" w:cs="Arial"/>
                <w:i/>
                <w:sz w:val="22"/>
              </w:rPr>
              <w:t>[There are other differences but not related to the answer of the question of part (b) below.]</w:t>
            </w:r>
          </w:p>
        </w:tc>
      </w:tr>
      <w:tr w:rsidR="00510E7E" w:rsidRPr="002E2AEF" w:rsidTr="00596AC7">
        <w:tc>
          <w:tcPr>
            <w:tcW w:w="730" w:type="dxa"/>
          </w:tcPr>
          <w:p w:rsidR="00510E7E" w:rsidRPr="002E2AEF" w:rsidRDefault="00510E7E" w:rsidP="00596AC7">
            <w:pPr>
              <w:widowControl w:val="0"/>
              <w:spacing w:line="360" w:lineRule="auto"/>
              <w:ind w:leftChars="-11" w:left="-24"/>
              <w:jc w:val="both"/>
              <w:rPr>
                <w:rFonts w:ascii="Arial" w:hAnsi="Arial" w:cs="Arial"/>
                <w:sz w:val="22"/>
              </w:rPr>
            </w:pPr>
          </w:p>
        </w:tc>
        <w:tc>
          <w:tcPr>
            <w:tcW w:w="512" w:type="dxa"/>
          </w:tcPr>
          <w:p w:rsidR="00510E7E" w:rsidRPr="002E2AEF" w:rsidRDefault="00510E7E" w:rsidP="00596AC7">
            <w:pPr>
              <w:widowControl w:val="0"/>
              <w:spacing w:line="360" w:lineRule="auto"/>
              <w:jc w:val="both"/>
              <w:rPr>
                <w:rFonts w:ascii="Arial" w:hAnsi="Arial" w:cs="Arial"/>
                <w:sz w:val="22"/>
              </w:rPr>
            </w:pPr>
          </w:p>
        </w:tc>
        <w:tc>
          <w:tcPr>
            <w:tcW w:w="485" w:type="dxa"/>
          </w:tcPr>
          <w:p w:rsidR="00510E7E" w:rsidRPr="002E2AEF" w:rsidRDefault="002E2AEF" w:rsidP="00596AC7">
            <w:pPr>
              <w:widowControl w:val="0"/>
              <w:spacing w:line="360" w:lineRule="auto"/>
              <w:ind w:leftChars="-49" w:left="-108"/>
              <w:rPr>
                <w:rFonts w:ascii="Arial" w:hAnsi="Arial" w:cs="Arial"/>
                <w:sz w:val="22"/>
              </w:rPr>
            </w:pPr>
            <w:r w:rsidRPr="002E2AEF">
              <w:rPr>
                <w:rFonts w:ascii="Arial" w:hAnsi="Arial" w:cs="Arial" w:hint="eastAsia"/>
                <w:sz w:val="22"/>
              </w:rPr>
              <w:t>(b)</w:t>
            </w:r>
          </w:p>
        </w:tc>
        <w:tc>
          <w:tcPr>
            <w:tcW w:w="8020" w:type="dxa"/>
          </w:tcPr>
          <w:p w:rsidR="00510E7E" w:rsidRPr="002E2AEF" w:rsidRDefault="002E2AEF" w:rsidP="00596AC7">
            <w:pPr>
              <w:widowControl w:val="0"/>
              <w:spacing w:line="360" w:lineRule="auto"/>
              <w:jc w:val="both"/>
              <w:rPr>
                <w:rFonts w:ascii="Arial" w:hAnsi="Arial" w:cs="Arial"/>
                <w:color w:val="000000" w:themeColor="text1"/>
                <w:sz w:val="22"/>
              </w:rPr>
            </w:pPr>
            <w:r w:rsidRPr="002E2AEF">
              <w:rPr>
                <w:rFonts w:ascii="Arial" w:hAnsi="Arial" w:cs="Arial"/>
                <w:sz w:val="22"/>
              </w:rPr>
              <w:t>It is for filtering out the portions of the visible spectrum which are not absorbed by the sample solution.  Since the LED emits light of a narrow band of visible spectrum, a filter is not needed to absorb the portions of light which are not absorbed by the sample solution.</w:t>
            </w:r>
          </w:p>
        </w:tc>
      </w:tr>
    </w:tbl>
    <w:p w:rsidR="00C01586" w:rsidRPr="00DB228E" w:rsidRDefault="002E2AEF" w:rsidP="002E2AEF">
      <w:pPr>
        <w:pStyle w:val="ListParagraph"/>
        <w:widowControl w:val="0"/>
        <w:spacing w:after="0" w:line="360" w:lineRule="auto"/>
        <w:ind w:left="960"/>
        <w:rPr>
          <w:rFonts w:ascii="Times New Roman" w:hAnsi="Times New Roman" w:cs="Times New Roman"/>
          <w:sz w:val="24"/>
          <w:szCs w:val="24"/>
          <w:lang w:eastAsia="zh-HK"/>
        </w:rPr>
      </w:pPr>
      <w:r w:rsidRPr="00DB228E">
        <w:rPr>
          <w:rFonts w:ascii="Times New Roman" w:hAnsi="Times New Roman" w:cs="Times New Roman"/>
          <w:sz w:val="24"/>
          <w:szCs w:val="24"/>
          <w:lang w:eastAsia="zh-HK"/>
        </w:rPr>
        <w:t xml:space="preserve"> </w:t>
      </w:r>
    </w:p>
    <w:sectPr w:rsidR="00C01586" w:rsidRPr="00DB228E" w:rsidSect="0000403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90" w:rsidRDefault="00D06990" w:rsidP="00292A92">
      <w:pPr>
        <w:spacing w:after="0" w:line="240" w:lineRule="auto"/>
      </w:pPr>
      <w:r>
        <w:separator/>
      </w:r>
    </w:p>
  </w:endnote>
  <w:endnote w:type="continuationSeparator" w:id="0">
    <w:p w:rsidR="00D06990" w:rsidRDefault="00D06990" w:rsidP="0029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56788"/>
      <w:docPartObj>
        <w:docPartGallery w:val="Page Numbers (Bottom of Page)"/>
        <w:docPartUnique/>
      </w:docPartObj>
    </w:sdtPr>
    <w:sdtEndPr>
      <w:rPr>
        <w:rFonts w:ascii="Arial" w:hAnsi="Arial" w:cs="Arial"/>
      </w:rPr>
    </w:sdtEndPr>
    <w:sdtContent>
      <w:p w:rsidR="00D66188" w:rsidRPr="00A9126C" w:rsidRDefault="00D66188">
        <w:pPr>
          <w:pStyle w:val="Footer"/>
          <w:jc w:val="center"/>
          <w:rPr>
            <w:rFonts w:ascii="Arial" w:hAnsi="Arial" w:cs="Arial"/>
          </w:rPr>
        </w:pPr>
        <w:r w:rsidRPr="00A9126C">
          <w:rPr>
            <w:rFonts w:ascii="Arial" w:hAnsi="Arial" w:cs="Arial"/>
          </w:rPr>
          <w:fldChar w:fldCharType="begin"/>
        </w:r>
        <w:r w:rsidRPr="00A9126C">
          <w:rPr>
            <w:rFonts w:ascii="Arial" w:hAnsi="Arial" w:cs="Arial"/>
          </w:rPr>
          <w:instrText>PAGE   \* MERGEFORMAT</w:instrText>
        </w:r>
        <w:r w:rsidRPr="00A9126C">
          <w:rPr>
            <w:rFonts w:ascii="Arial" w:hAnsi="Arial" w:cs="Arial"/>
          </w:rPr>
          <w:fldChar w:fldCharType="separate"/>
        </w:r>
        <w:r w:rsidR="00A9126C" w:rsidRPr="00A9126C">
          <w:rPr>
            <w:rFonts w:ascii="Arial" w:hAnsi="Arial" w:cs="Arial"/>
            <w:noProof/>
            <w:lang w:val="zh-TW"/>
          </w:rPr>
          <w:t>1</w:t>
        </w:r>
        <w:r w:rsidRPr="00A9126C">
          <w:rPr>
            <w:rFonts w:ascii="Arial" w:hAnsi="Arial" w:cs="Arial"/>
          </w:rPr>
          <w:fldChar w:fldCharType="end"/>
        </w:r>
      </w:p>
    </w:sdtContent>
  </w:sdt>
  <w:p w:rsidR="00D66188" w:rsidRDefault="00D66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90" w:rsidRDefault="00D06990" w:rsidP="00292A92">
      <w:pPr>
        <w:spacing w:after="0" w:line="240" w:lineRule="auto"/>
      </w:pPr>
      <w:r>
        <w:separator/>
      </w:r>
    </w:p>
  </w:footnote>
  <w:footnote w:type="continuationSeparator" w:id="0">
    <w:p w:rsidR="00D06990" w:rsidRDefault="00D06990" w:rsidP="00292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60B"/>
    <w:multiLevelType w:val="hybridMultilevel"/>
    <w:tmpl w:val="ADFE75C2"/>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nsid w:val="07056D75"/>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86D7712"/>
    <w:multiLevelType w:val="hybridMultilevel"/>
    <w:tmpl w:val="7A1E372E"/>
    <w:lvl w:ilvl="0" w:tplc="03D44DA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316C7B"/>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0A66C14"/>
    <w:multiLevelType w:val="hybridMultilevel"/>
    <w:tmpl w:val="6B52C6A8"/>
    <w:lvl w:ilvl="0" w:tplc="4BB603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410C44"/>
    <w:multiLevelType w:val="hybridMultilevel"/>
    <w:tmpl w:val="50B213EC"/>
    <w:lvl w:ilvl="0" w:tplc="ED9627E2">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AE627DF"/>
    <w:multiLevelType w:val="hybridMultilevel"/>
    <w:tmpl w:val="BA54A468"/>
    <w:lvl w:ilvl="0" w:tplc="0409000F">
      <w:start w:val="1"/>
      <w:numFmt w:val="decimal"/>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31537923"/>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4CC4661"/>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89E49C4"/>
    <w:multiLevelType w:val="hybridMultilevel"/>
    <w:tmpl w:val="54B62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6D42E1"/>
    <w:multiLevelType w:val="hybridMultilevel"/>
    <w:tmpl w:val="D892095A"/>
    <w:lvl w:ilvl="0" w:tplc="44CC9E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A05591"/>
    <w:multiLevelType w:val="hybridMultilevel"/>
    <w:tmpl w:val="1A020DE4"/>
    <w:lvl w:ilvl="0" w:tplc="2F1A5E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AA86356"/>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E98631E"/>
    <w:multiLevelType w:val="hybridMultilevel"/>
    <w:tmpl w:val="28468352"/>
    <w:lvl w:ilvl="0" w:tplc="1AFEF92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87AAC"/>
    <w:multiLevelType w:val="hybridMultilevel"/>
    <w:tmpl w:val="1086302C"/>
    <w:lvl w:ilvl="0" w:tplc="7AEAE0D0">
      <w:start w:val="2"/>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4FB46101"/>
    <w:multiLevelType w:val="hybridMultilevel"/>
    <w:tmpl w:val="38CA0982"/>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1EF7B81"/>
    <w:multiLevelType w:val="hybridMultilevel"/>
    <w:tmpl w:val="50B213EC"/>
    <w:lvl w:ilvl="0" w:tplc="ED9627E2">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FAE5FFE"/>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6FE6F6B"/>
    <w:multiLevelType w:val="hybridMultilevel"/>
    <w:tmpl w:val="D7DA4A68"/>
    <w:lvl w:ilvl="0" w:tplc="EBE674E4">
      <w:start w:val="1"/>
      <w:numFmt w:val="lowerLetter"/>
      <w:lvlText w:val="(%1)"/>
      <w:lvlJc w:val="left"/>
      <w:pPr>
        <w:ind w:left="901" w:hanging="45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9">
    <w:nsid w:val="6F027F14"/>
    <w:multiLevelType w:val="hybridMultilevel"/>
    <w:tmpl w:val="A3846AC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34B5E79"/>
    <w:multiLevelType w:val="hybridMultilevel"/>
    <w:tmpl w:val="1A020DE4"/>
    <w:lvl w:ilvl="0" w:tplc="2F1A5E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3857AD8"/>
    <w:multiLevelType w:val="hybridMultilevel"/>
    <w:tmpl w:val="0BA2CA28"/>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3"/>
  </w:num>
  <w:num w:numId="2">
    <w:abstractNumId w:val="20"/>
  </w:num>
  <w:num w:numId="3">
    <w:abstractNumId w:val="11"/>
  </w:num>
  <w:num w:numId="4">
    <w:abstractNumId w:val="7"/>
  </w:num>
  <w:num w:numId="5">
    <w:abstractNumId w:val="8"/>
  </w:num>
  <w:num w:numId="6">
    <w:abstractNumId w:val="15"/>
  </w:num>
  <w:num w:numId="7">
    <w:abstractNumId w:val="1"/>
  </w:num>
  <w:num w:numId="8">
    <w:abstractNumId w:val="17"/>
  </w:num>
  <w:num w:numId="9">
    <w:abstractNumId w:val="12"/>
  </w:num>
  <w:num w:numId="10">
    <w:abstractNumId w:val="3"/>
  </w:num>
  <w:num w:numId="11">
    <w:abstractNumId w:val="4"/>
  </w:num>
  <w:num w:numId="12">
    <w:abstractNumId w:val="10"/>
  </w:num>
  <w:num w:numId="13">
    <w:abstractNumId w:val="18"/>
  </w:num>
  <w:num w:numId="14">
    <w:abstractNumId w:val="14"/>
  </w:num>
  <w:num w:numId="15">
    <w:abstractNumId w:val="2"/>
  </w:num>
  <w:num w:numId="16">
    <w:abstractNumId w:val="0"/>
  </w:num>
  <w:num w:numId="17">
    <w:abstractNumId w:val="21"/>
  </w:num>
  <w:num w:numId="18">
    <w:abstractNumId w:val="6"/>
  </w:num>
  <w:num w:numId="19">
    <w:abstractNumId w:val="16"/>
  </w:num>
  <w:num w:numId="20">
    <w:abstractNumId w:val="5"/>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ED"/>
    <w:rsid w:val="0000403A"/>
    <w:rsid w:val="00026515"/>
    <w:rsid w:val="000960D8"/>
    <w:rsid w:val="000B0354"/>
    <w:rsid w:val="000B1D66"/>
    <w:rsid w:val="000D103B"/>
    <w:rsid w:val="000D494B"/>
    <w:rsid w:val="000D6806"/>
    <w:rsid w:val="001320FF"/>
    <w:rsid w:val="00137771"/>
    <w:rsid w:val="0015300B"/>
    <w:rsid w:val="00165169"/>
    <w:rsid w:val="001834D7"/>
    <w:rsid w:val="001A6D8B"/>
    <w:rsid w:val="001A6FF8"/>
    <w:rsid w:val="001B478C"/>
    <w:rsid w:val="001F1C1F"/>
    <w:rsid w:val="0020725D"/>
    <w:rsid w:val="0024620F"/>
    <w:rsid w:val="00251E93"/>
    <w:rsid w:val="00255816"/>
    <w:rsid w:val="0026387D"/>
    <w:rsid w:val="00292A92"/>
    <w:rsid w:val="002A6D9A"/>
    <w:rsid w:val="002B50DB"/>
    <w:rsid w:val="002E2AEF"/>
    <w:rsid w:val="002E494C"/>
    <w:rsid w:val="002E637E"/>
    <w:rsid w:val="00307062"/>
    <w:rsid w:val="003213FA"/>
    <w:rsid w:val="003402FA"/>
    <w:rsid w:val="00356E3C"/>
    <w:rsid w:val="003640CB"/>
    <w:rsid w:val="003A15F2"/>
    <w:rsid w:val="003C1E61"/>
    <w:rsid w:val="00417017"/>
    <w:rsid w:val="004230FA"/>
    <w:rsid w:val="004252B5"/>
    <w:rsid w:val="00490BAA"/>
    <w:rsid w:val="004A3D28"/>
    <w:rsid w:val="004A521A"/>
    <w:rsid w:val="004A7FCA"/>
    <w:rsid w:val="004B0787"/>
    <w:rsid w:val="004B574A"/>
    <w:rsid w:val="004C3593"/>
    <w:rsid w:val="004E23D3"/>
    <w:rsid w:val="004E53B7"/>
    <w:rsid w:val="004E66C2"/>
    <w:rsid w:val="004F13AA"/>
    <w:rsid w:val="004F2CBA"/>
    <w:rsid w:val="004F7F0D"/>
    <w:rsid w:val="005102B5"/>
    <w:rsid w:val="005107FB"/>
    <w:rsid w:val="00510E7E"/>
    <w:rsid w:val="005309EC"/>
    <w:rsid w:val="0053365E"/>
    <w:rsid w:val="0056630C"/>
    <w:rsid w:val="0057196B"/>
    <w:rsid w:val="005E1E7C"/>
    <w:rsid w:val="005E202B"/>
    <w:rsid w:val="0066307C"/>
    <w:rsid w:val="00672500"/>
    <w:rsid w:val="006A1158"/>
    <w:rsid w:val="006C5AB6"/>
    <w:rsid w:val="006E5C67"/>
    <w:rsid w:val="0071549A"/>
    <w:rsid w:val="00731014"/>
    <w:rsid w:val="00747F7D"/>
    <w:rsid w:val="00754206"/>
    <w:rsid w:val="00767B85"/>
    <w:rsid w:val="007A4D2F"/>
    <w:rsid w:val="007B31B0"/>
    <w:rsid w:val="007B5355"/>
    <w:rsid w:val="007C6ECA"/>
    <w:rsid w:val="007D63CE"/>
    <w:rsid w:val="007F7D1A"/>
    <w:rsid w:val="00860C55"/>
    <w:rsid w:val="00877BE1"/>
    <w:rsid w:val="00890384"/>
    <w:rsid w:val="00896AF7"/>
    <w:rsid w:val="008A010F"/>
    <w:rsid w:val="008A1FDD"/>
    <w:rsid w:val="008D3032"/>
    <w:rsid w:val="008D6B74"/>
    <w:rsid w:val="008F5ECC"/>
    <w:rsid w:val="00900416"/>
    <w:rsid w:val="00911527"/>
    <w:rsid w:val="00912287"/>
    <w:rsid w:val="009611CF"/>
    <w:rsid w:val="0098118E"/>
    <w:rsid w:val="0098330F"/>
    <w:rsid w:val="009C451E"/>
    <w:rsid w:val="009E6D2A"/>
    <w:rsid w:val="00A35F6F"/>
    <w:rsid w:val="00A37FCA"/>
    <w:rsid w:val="00A4583D"/>
    <w:rsid w:val="00A460BC"/>
    <w:rsid w:val="00A717F2"/>
    <w:rsid w:val="00A9126C"/>
    <w:rsid w:val="00A96AF8"/>
    <w:rsid w:val="00AC044A"/>
    <w:rsid w:val="00AC67C6"/>
    <w:rsid w:val="00AE4184"/>
    <w:rsid w:val="00B14236"/>
    <w:rsid w:val="00B21213"/>
    <w:rsid w:val="00B40283"/>
    <w:rsid w:val="00B409E4"/>
    <w:rsid w:val="00B42790"/>
    <w:rsid w:val="00B42F37"/>
    <w:rsid w:val="00B505AD"/>
    <w:rsid w:val="00B7323B"/>
    <w:rsid w:val="00B776FE"/>
    <w:rsid w:val="00BA10ED"/>
    <w:rsid w:val="00BA61B8"/>
    <w:rsid w:val="00BD24C0"/>
    <w:rsid w:val="00BD2F2A"/>
    <w:rsid w:val="00C01586"/>
    <w:rsid w:val="00C437CE"/>
    <w:rsid w:val="00C527B6"/>
    <w:rsid w:val="00CA6ACB"/>
    <w:rsid w:val="00CD5695"/>
    <w:rsid w:val="00CE13A7"/>
    <w:rsid w:val="00CE779F"/>
    <w:rsid w:val="00D06990"/>
    <w:rsid w:val="00D13362"/>
    <w:rsid w:val="00D437DA"/>
    <w:rsid w:val="00D474EE"/>
    <w:rsid w:val="00D51692"/>
    <w:rsid w:val="00D66188"/>
    <w:rsid w:val="00D87A45"/>
    <w:rsid w:val="00DA5730"/>
    <w:rsid w:val="00DB228E"/>
    <w:rsid w:val="00DD6E04"/>
    <w:rsid w:val="00DE3C21"/>
    <w:rsid w:val="00DF37E7"/>
    <w:rsid w:val="00DF5064"/>
    <w:rsid w:val="00E5781F"/>
    <w:rsid w:val="00E6329B"/>
    <w:rsid w:val="00E95437"/>
    <w:rsid w:val="00EB28D8"/>
    <w:rsid w:val="00EC1F7A"/>
    <w:rsid w:val="00EC2000"/>
    <w:rsid w:val="00F0578B"/>
    <w:rsid w:val="00F23961"/>
    <w:rsid w:val="00F27C0F"/>
    <w:rsid w:val="00F356CC"/>
    <w:rsid w:val="00F5316E"/>
    <w:rsid w:val="00F824FF"/>
    <w:rsid w:val="00F93873"/>
    <w:rsid w:val="00FC697E"/>
    <w:rsid w:val="00FD5B4E"/>
    <w:rsid w:val="00FD624E"/>
    <w:rsid w:val="00FE4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4A"/>
    <w:rPr>
      <w:rFonts w:ascii="Tahoma" w:hAnsi="Tahoma" w:cs="Tahoma"/>
      <w:sz w:val="16"/>
      <w:szCs w:val="16"/>
    </w:rPr>
  </w:style>
  <w:style w:type="character" w:styleId="Hyperlink">
    <w:name w:val="Hyperlink"/>
    <w:basedOn w:val="DefaultParagraphFont"/>
    <w:uiPriority w:val="99"/>
    <w:unhideWhenUsed/>
    <w:rsid w:val="00F5316E"/>
    <w:rPr>
      <w:color w:val="0000FF" w:themeColor="hyperlink"/>
      <w:u w:val="single"/>
    </w:rPr>
  </w:style>
  <w:style w:type="character" w:styleId="CommentReference">
    <w:name w:val="annotation reference"/>
    <w:basedOn w:val="DefaultParagraphFont"/>
    <w:uiPriority w:val="99"/>
    <w:semiHidden/>
    <w:unhideWhenUsed/>
    <w:rsid w:val="00B40283"/>
    <w:rPr>
      <w:sz w:val="18"/>
      <w:szCs w:val="18"/>
    </w:rPr>
  </w:style>
  <w:style w:type="paragraph" w:styleId="CommentText">
    <w:name w:val="annotation text"/>
    <w:basedOn w:val="Normal"/>
    <w:link w:val="CommentTextChar"/>
    <w:uiPriority w:val="99"/>
    <w:semiHidden/>
    <w:unhideWhenUsed/>
    <w:rsid w:val="00B40283"/>
  </w:style>
  <w:style w:type="character" w:customStyle="1" w:styleId="CommentTextChar">
    <w:name w:val="Comment Text Char"/>
    <w:basedOn w:val="DefaultParagraphFont"/>
    <w:link w:val="CommentText"/>
    <w:uiPriority w:val="99"/>
    <w:semiHidden/>
    <w:rsid w:val="00B40283"/>
  </w:style>
  <w:style w:type="paragraph" w:styleId="CommentSubject">
    <w:name w:val="annotation subject"/>
    <w:basedOn w:val="CommentText"/>
    <w:next w:val="CommentText"/>
    <w:link w:val="CommentSubjectChar"/>
    <w:uiPriority w:val="99"/>
    <w:semiHidden/>
    <w:unhideWhenUsed/>
    <w:rsid w:val="00B40283"/>
    <w:rPr>
      <w:b/>
      <w:bCs/>
    </w:rPr>
  </w:style>
  <w:style w:type="character" w:customStyle="1" w:styleId="CommentSubjectChar">
    <w:name w:val="Comment Subject Char"/>
    <w:basedOn w:val="CommentTextChar"/>
    <w:link w:val="CommentSubject"/>
    <w:uiPriority w:val="99"/>
    <w:semiHidden/>
    <w:rsid w:val="00B40283"/>
    <w:rPr>
      <w:b/>
      <w:bCs/>
    </w:rPr>
  </w:style>
  <w:style w:type="character" w:customStyle="1" w:styleId="a">
    <w:name w:val="頁尾 字元"/>
    <w:basedOn w:val="DefaultParagraphFont"/>
    <w:uiPriority w:val="99"/>
    <w:rsid w:val="00D66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4A"/>
    <w:rPr>
      <w:rFonts w:ascii="Tahoma" w:hAnsi="Tahoma" w:cs="Tahoma"/>
      <w:sz w:val="16"/>
      <w:szCs w:val="16"/>
    </w:rPr>
  </w:style>
  <w:style w:type="character" w:styleId="Hyperlink">
    <w:name w:val="Hyperlink"/>
    <w:basedOn w:val="DefaultParagraphFont"/>
    <w:uiPriority w:val="99"/>
    <w:unhideWhenUsed/>
    <w:rsid w:val="00F5316E"/>
    <w:rPr>
      <w:color w:val="0000FF" w:themeColor="hyperlink"/>
      <w:u w:val="single"/>
    </w:rPr>
  </w:style>
  <w:style w:type="character" w:styleId="CommentReference">
    <w:name w:val="annotation reference"/>
    <w:basedOn w:val="DefaultParagraphFont"/>
    <w:uiPriority w:val="99"/>
    <w:semiHidden/>
    <w:unhideWhenUsed/>
    <w:rsid w:val="00B40283"/>
    <w:rPr>
      <w:sz w:val="18"/>
      <w:szCs w:val="18"/>
    </w:rPr>
  </w:style>
  <w:style w:type="paragraph" w:styleId="CommentText">
    <w:name w:val="annotation text"/>
    <w:basedOn w:val="Normal"/>
    <w:link w:val="CommentTextChar"/>
    <w:uiPriority w:val="99"/>
    <w:semiHidden/>
    <w:unhideWhenUsed/>
    <w:rsid w:val="00B40283"/>
  </w:style>
  <w:style w:type="character" w:customStyle="1" w:styleId="CommentTextChar">
    <w:name w:val="Comment Text Char"/>
    <w:basedOn w:val="DefaultParagraphFont"/>
    <w:link w:val="CommentText"/>
    <w:uiPriority w:val="99"/>
    <w:semiHidden/>
    <w:rsid w:val="00B40283"/>
  </w:style>
  <w:style w:type="paragraph" w:styleId="CommentSubject">
    <w:name w:val="annotation subject"/>
    <w:basedOn w:val="CommentText"/>
    <w:next w:val="CommentText"/>
    <w:link w:val="CommentSubjectChar"/>
    <w:uiPriority w:val="99"/>
    <w:semiHidden/>
    <w:unhideWhenUsed/>
    <w:rsid w:val="00B40283"/>
    <w:rPr>
      <w:b/>
      <w:bCs/>
    </w:rPr>
  </w:style>
  <w:style w:type="character" w:customStyle="1" w:styleId="CommentSubjectChar">
    <w:name w:val="Comment Subject Char"/>
    <w:basedOn w:val="CommentTextChar"/>
    <w:link w:val="CommentSubject"/>
    <w:uiPriority w:val="99"/>
    <w:semiHidden/>
    <w:rsid w:val="00B40283"/>
    <w:rPr>
      <w:b/>
      <w:bCs/>
    </w:rPr>
  </w:style>
  <w:style w:type="character" w:customStyle="1" w:styleId="a">
    <w:name w:val="頁尾 字元"/>
    <w:basedOn w:val="DefaultParagraphFont"/>
    <w:uiPriority w:val="99"/>
    <w:rsid w:val="00D6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upload.wikimedia.org/wikipedia/commons/b/bf/Permanganate_spectrum.png"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5735-F25F-4D50-82F0-BC4058F3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KendrewMak</dc:creator>
  <cp:lastModifiedBy>kendrewmak</cp:lastModifiedBy>
  <cp:revision>8</cp:revision>
  <dcterms:created xsi:type="dcterms:W3CDTF">2017-02-08T06:23:00Z</dcterms:created>
  <dcterms:modified xsi:type="dcterms:W3CDTF">2017-02-09T09:05:00Z</dcterms:modified>
</cp:coreProperties>
</file>